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B21" w:rsidRPr="000500FE" w:rsidRDefault="009D14EE" w:rsidP="00FA42D4">
      <w:pPr>
        <w:pStyle w:val="Ttulo4"/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500F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LEI N.º </w:t>
      </w:r>
      <w:r w:rsidR="008E23B4" w:rsidRPr="000500F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163</w:t>
      </w:r>
      <w:r w:rsidR="006224FD" w:rsidRPr="000500F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7</w:t>
      </w:r>
      <w:r w:rsidR="003F1147" w:rsidRPr="000500F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/2019</w:t>
      </w:r>
    </w:p>
    <w:p w:rsidR="00FA7B21" w:rsidRPr="000500FE" w:rsidRDefault="00FA7B21" w:rsidP="00FA42D4">
      <w:pPr>
        <w:jc w:val="both"/>
        <w:rPr>
          <w:sz w:val="22"/>
          <w:szCs w:val="22"/>
        </w:rPr>
      </w:pPr>
    </w:p>
    <w:p w:rsidR="008E23B4" w:rsidRPr="000500FE" w:rsidRDefault="008E23B4" w:rsidP="00E35827">
      <w:pPr>
        <w:pStyle w:val="Ttulo2"/>
        <w:ind w:left="2977" w:firstLine="6"/>
        <w:jc w:val="both"/>
        <w:rPr>
          <w:b/>
          <w:sz w:val="22"/>
          <w:szCs w:val="22"/>
        </w:rPr>
      </w:pPr>
    </w:p>
    <w:p w:rsidR="00FA7B21" w:rsidRPr="000500FE" w:rsidRDefault="00FA7B21" w:rsidP="008E23B4">
      <w:pPr>
        <w:pStyle w:val="Ttulo2"/>
        <w:ind w:left="3402" w:firstLine="6"/>
        <w:jc w:val="both"/>
        <w:rPr>
          <w:b/>
          <w:bCs/>
          <w:sz w:val="22"/>
          <w:szCs w:val="22"/>
        </w:rPr>
      </w:pPr>
      <w:r w:rsidRPr="000500FE">
        <w:rPr>
          <w:b/>
          <w:bCs/>
          <w:sz w:val="22"/>
          <w:szCs w:val="22"/>
        </w:rPr>
        <w:t>“</w:t>
      </w:r>
      <w:r w:rsidR="005C642D" w:rsidRPr="000500FE">
        <w:rPr>
          <w:b/>
          <w:bCs/>
          <w:sz w:val="22"/>
          <w:szCs w:val="22"/>
        </w:rPr>
        <w:t>DISPÕE SOBRE AS DIRETRIZES PARA A ELABORAÇÃO DA LEI ORÇAMENTÁRIA DE 2020 E DÁ OUTRAS PROVIDÊNCIAS</w:t>
      </w:r>
      <w:r w:rsidR="001A088E" w:rsidRPr="000500FE">
        <w:rPr>
          <w:b/>
          <w:bCs/>
          <w:sz w:val="22"/>
          <w:szCs w:val="22"/>
        </w:rPr>
        <w:t>”.</w:t>
      </w:r>
    </w:p>
    <w:p w:rsidR="00FA7B21" w:rsidRPr="000500FE" w:rsidRDefault="00FA7B21" w:rsidP="00FA42D4">
      <w:pPr>
        <w:rPr>
          <w:sz w:val="22"/>
          <w:szCs w:val="22"/>
        </w:rPr>
      </w:pPr>
    </w:p>
    <w:p w:rsidR="00FA7B21" w:rsidRPr="000500FE" w:rsidRDefault="00FA7B21" w:rsidP="00FA42D4">
      <w:pPr>
        <w:jc w:val="both"/>
        <w:rPr>
          <w:sz w:val="22"/>
          <w:szCs w:val="22"/>
        </w:rPr>
      </w:pPr>
    </w:p>
    <w:p w:rsidR="00FA7B21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0500FE">
        <w:rPr>
          <w:rFonts w:eastAsiaTheme="minorHAnsi"/>
          <w:sz w:val="22"/>
          <w:szCs w:val="22"/>
          <w:lang w:eastAsia="en-US"/>
        </w:rPr>
        <w:t>O povo do Município de Moema/MG, por seus representantes na Câmara Municipal, aprovou e eu, Prefeito do Município, sanciono a</w:t>
      </w:r>
      <w:r w:rsidRPr="000500FE">
        <w:rPr>
          <w:rFonts w:eastAsiaTheme="minorHAnsi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sz w:val="22"/>
          <w:szCs w:val="22"/>
          <w:lang w:eastAsia="en-US"/>
        </w:rPr>
        <w:t>seguinte Lei</w:t>
      </w:r>
      <w:r w:rsidR="00FA7B21" w:rsidRPr="000500FE">
        <w:rPr>
          <w:sz w:val="22"/>
          <w:szCs w:val="22"/>
        </w:rPr>
        <w:t>:</w:t>
      </w:r>
    </w:p>
    <w:p w:rsidR="00FA7B21" w:rsidRPr="000500FE" w:rsidRDefault="00FA7B21" w:rsidP="00BC2ADF">
      <w:pPr>
        <w:pStyle w:val="Corpodetexto"/>
        <w:ind w:firstLine="1134"/>
        <w:rPr>
          <w:rFonts w:ascii="Times New Roman" w:hAnsi="Times New Roman"/>
          <w:b/>
          <w:sz w:val="22"/>
          <w:szCs w:val="22"/>
        </w:rPr>
      </w:pP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Disposições Preliminares</w:t>
      </w:r>
    </w:p>
    <w:p w:rsidR="006224FD" w:rsidRPr="000500FE" w:rsidRDefault="006224FD" w:rsidP="006224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Art.1º.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São estabelecidas, em cumprimento ao disposto no art. 165, § 2º, da Constituição da República, e na Lei Complementar nº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101,</w:t>
      </w:r>
      <w:r w:rsidR="00274D7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de 04 de maio de 2000, as diretrizes para a elaboração da lei orçamentária do exercício financeiro de 2020, compreendendo: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as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metas e prioridades da Administração Pública Municipal;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orientações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básicas para elaboração da lei orçamentária anual;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III – disposições sobre a política de pessoal e serviços extraordinários;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IV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disposições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sobre a receita e alterações na legislação tributária do Município;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V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equilíbrio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entre receitas e despesas;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VI – critérios e formas de limitação de empenho;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VII – normas relativas ao controle de custos e a avaliação dos resultados dos programas financiados com recursos dos orçamentos;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VIII – condições e exigências para transferências de recursos a entidades públicas e privadas;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IX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autorização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para o Município auxiliar o custeio de despesas atribuídas a outros entes da federação;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X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parâmetros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para a elaboração da programação financeira e do cronograma mensal de desembolso;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XI – definição de critérios para início de novos projetos;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XII – definição das despesas consideradas irrelevantes;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XIII – incentivo à participação popular;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XIV – as disposições gerais.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Seção I</w:t>
      </w: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Das Metas e Prioridades da Administração Pública Municipal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2º.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Em consonância com o disposto no art. 165, § 2º, da Constituição da República, atendidas as despesas que constituem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obrigação constitucional ou legal do Município, as ações relativas à manutenção e funcionamento dos órgãos da administração direta e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das entidades da administração indireta, as metas e as prioridades para o exercício financeiro de 2020 correspondem às ações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especificadas no Anexo de Metas e Prioridades que integra esta Lei, de acordo com os programas e ações estabelecidos no Plano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Plurianual relativo ao pe</w:t>
      </w:r>
      <w:bookmarkStart w:id="0" w:name="_GoBack"/>
      <w:bookmarkEnd w:id="0"/>
      <w:r w:rsidRPr="000500FE">
        <w:rPr>
          <w:rFonts w:eastAsiaTheme="minorHAnsi"/>
          <w:color w:val="000000"/>
          <w:sz w:val="22"/>
          <w:szCs w:val="22"/>
          <w:lang w:eastAsia="en-US"/>
        </w:rPr>
        <w:t>ríodo de 2018–2021, as quais terão precedência na alocação de recursos na lei orçamentária de 2020 e na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sua execução, não se constituindo, todavia, em limite à programação das despesas.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1º. O projeto de lei orçamentária para 2020 deverá ser elaborado em consonância com as metas e prioridades estabelecidas na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forma do caput deste artigo.</w:t>
      </w:r>
    </w:p>
    <w:p w:rsidR="00DD79D7" w:rsidRDefault="00DD79D7" w:rsidP="00DD79D7">
      <w:pPr>
        <w:rPr>
          <w:rFonts w:eastAsiaTheme="minorHAnsi"/>
          <w:color w:val="000000"/>
          <w:sz w:val="22"/>
          <w:szCs w:val="22"/>
          <w:lang w:eastAsia="en-US"/>
        </w:rPr>
      </w:pPr>
    </w:p>
    <w:p w:rsidR="00DD79D7" w:rsidRPr="00DD79D7" w:rsidRDefault="00DD79D7" w:rsidP="00DD79D7">
      <w:pPr>
        <w:rPr>
          <w:rFonts w:eastAsiaTheme="minorHAnsi"/>
          <w:sz w:val="22"/>
          <w:szCs w:val="22"/>
          <w:lang w:eastAsia="en-US"/>
        </w:rPr>
      </w:pPr>
    </w:p>
    <w:p w:rsidR="00DD79D7" w:rsidRPr="00DD79D7" w:rsidRDefault="00DD79D7" w:rsidP="00DD79D7">
      <w:pPr>
        <w:rPr>
          <w:rFonts w:eastAsiaTheme="minorHAnsi"/>
          <w:sz w:val="22"/>
          <w:szCs w:val="22"/>
          <w:lang w:eastAsia="en-US"/>
        </w:rPr>
      </w:pPr>
    </w:p>
    <w:p w:rsidR="00DD79D7" w:rsidRPr="00DD79D7" w:rsidRDefault="00DD79D7" w:rsidP="00DD79D7">
      <w:pPr>
        <w:rPr>
          <w:rFonts w:eastAsiaTheme="minorHAnsi"/>
          <w:sz w:val="22"/>
          <w:szCs w:val="22"/>
          <w:lang w:eastAsia="en-US"/>
        </w:rPr>
      </w:pPr>
    </w:p>
    <w:p w:rsidR="00DD79D7" w:rsidRPr="00DD79D7" w:rsidRDefault="00DD79D7" w:rsidP="00DD79D7">
      <w:pPr>
        <w:rPr>
          <w:rFonts w:eastAsiaTheme="minorHAnsi"/>
          <w:sz w:val="22"/>
          <w:szCs w:val="22"/>
          <w:lang w:eastAsia="en-US"/>
        </w:rPr>
      </w:pPr>
    </w:p>
    <w:p w:rsidR="00DD79D7" w:rsidRPr="00DD79D7" w:rsidRDefault="00DD79D7" w:rsidP="00DD79D7">
      <w:pPr>
        <w:rPr>
          <w:rFonts w:eastAsiaTheme="minorHAnsi"/>
          <w:sz w:val="22"/>
          <w:szCs w:val="22"/>
          <w:lang w:eastAsia="en-US"/>
        </w:rPr>
      </w:pPr>
    </w:p>
    <w:p w:rsidR="00DD79D7" w:rsidRPr="00DD79D7" w:rsidRDefault="00DD79D7" w:rsidP="00DD79D7">
      <w:pPr>
        <w:rPr>
          <w:rFonts w:eastAsiaTheme="minorHAnsi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2º. O projeto de lei orçamentária para 2020 conterá demonstrativo da observância das metas e prioridades estabelecidas n</w:t>
      </w:r>
      <w:r w:rsidR="00274D77" w:rsidRPr="000500FE">
        <w:rPr>
          <w:rFonts w:eastAsiaTheme="minorHAnsi"/>
          <w:color w:val="000000"/>
          <w:sz w:val="22"/>
          <w:szCs w:val="22"/>
          <w:lang w:eastAsia="en-US"/>
        </w:rPr>
        <w:t>o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caput deste artigo.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Seção II</w:t>
      </w: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Das Orientações Básicas para Elaboração da Lei Orçamentária Anual</w:t>
      </w: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Subseção I</w:t>
      </w: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Das Diretrizes Gerais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3º.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As categorias de programação de que trata esta Lei serão identificadas por funções, </w:t>
      </w:r>
      <w:proofErr w:type="spellStart"/>
      <w:r w:rsidRPr="000500FE">
        <w:rPr>
          <w:rFonts w:eastAsiaTheme="minorHAnsi"/>
          <w:color w:val="000000"/>
          <w:sz w:val="22"/>
          <w:szCs w:val="22"/>
          <w:lang w:eastAsia="en-US"/>
        </w:rPr>
        <w:t>subfunções</w:t>
      </w:r>
      <w:proofErr w:type="spellEnd"/>
      <w:r w:rsidRPr="000500FE">
        <w:rPr>
          <w:rFonts w:eastAsiaTheme="minorHAnsi"/>
          <w:color w:val="000000"/>
          <w:sz w:val="22"/>
          <w:szCs w:val="22"/>
          <w:lang w:eastAsia="en-US"/>
        </w:rPr>
        <w:t>, programas, atividades,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projetos, operações especiais, de acordo com as codificações da Portaria SOF nº 42/1999, da Portaria Interministerial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STN/SOF</w:t>
      </w:r>
      <w:r w:rsidR="000500FE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nº</w:t>
      </w:r>
      <w:r w:rsidR="000500FE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163/2001 e da Lei do Plano Plurianual relativo ao período 2018-2021.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4º.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O orçamento fiscal, da seguridade social e de investimentos discriminará a despesa, no mínimo, por elemento de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despesa,</w:t>
      </w:r>
      <w:r w:rsidR="000500FE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conforme art. 15 da Lei nº 4.320/64.</w:t>
      </w: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5º.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O orçamento fiscal, da seguridade social e de investimentos compreenderá a programação dos Poderes do Município, seus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fundos, órgãos, autarquias, fundações, empresas públicas dependentes, e demais entidades em que o Município, direta ou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indiretamente, detenha a maioria do capital social com direito a voto e que recebam recursos do Tesouro Municipal.</w:t>
      </w: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6º.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O projeto de lei orçamentária que o Poder Executivo encaminhará à Câmara Municipal será constituído de: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texto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da lei;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documentos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referenciados nos artigos 2º e 22 da Lei nº 4.320/1964;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III – quadros orçamentários consolidados;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IV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anexo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do orçamento fiscal e da seguridade social, discriminando a receita e a despesa na forma definida nesta Lei;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V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demonstrativos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e documentos previstos no artigo 5º da Lei Complementar nº 101/2000;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VI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anexo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do orçamento de investimento a que se refere o artigo 165, § 5º, inciso II, da Constituição da República, na forma definida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nesta Lei.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Parágrafo único. Acompanharão a proposta orçamentária, além dos demonstrativos exigidos pela legislação em vigor, definidos no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caput, os seguintes demonstrativos: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I – Demonstrativo da receita corrente líquida, de acordo com o artigo 2º, inciso IV da Lei Complementar nº 101/2000;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II – Demonstrativo dos recursos a serem aplicados na manutenção e desenvolvimento do ensino e no ensino fundamental, para fins do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atendimento do disposto no artigo 212 da Constituição da República e no artigo 60 do Ato das Disposições Constitucionais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Transitórias;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III – Demonstrativo dos recursos a serem aplicados no FUNDEB – Fundo de Manutenção e Desenvolvimento da Educação Básica e de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Valorização dos profissionais da Educação, para fins do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lastRenderedPageBreak/>
        <w:t>atendimento ao artigo 60 do ADCT, com as alterações introduzidas pela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Emenda Constitucional nº 53/2006 e respectiva Lei nº 11.494/2007;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IV – Demonstrativo dos recursos a serem aplicados nas ações e serviços públicos de saúde, para fins do atendimento disposto na Lei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Complementar nº 141 de 13/01/2012;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V – Demonstrativo da despesa com pessoal, para fins do atendimento do disposto no artigo 169 da Constituição da República e na Lei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Complementar nº 101/2000.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7º.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A estimativa da receita e a fixação da despesa, constantes do projeto de lei orçamentária de 2020, serão elaboradas a </w:t>
      </w:r>
      <w:r w:rsidR="000500FE" w:rsidRPr="000500FE">
        <w:rPr>
          <w:rFonts w:eastAsiaTheme="minorHAnsi"/>
          <w:color w:val="000000"/>
          <w:sz w:val="22"/>
          <w:szCs w:val="22"/>
          <w:lang w:eastAsia="en-US"/>
        </w:rPr>
        <w:t>v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alores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correntes do exercício de 2020, projetados ao exercício a que se refere.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Parágrafo único. O projeto de lei orçamentária atualizará a estimativa da margem de expansão das despesas, considerando os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acréscimos de receita resultantes do crescimento da economia e da evolução de outras variáveis que implicam aumento da base de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cálculo, bem como de alterações na legislação tributária, devendo ser garantidas, no mínimo, as metas de resultado primário e nominal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estabelecidas nesta Lei.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8º.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O Poder Executivo colocará à disposição do Poder Legislativo, no mínimo trinta dias antes do prazo final para encaminhamento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de sua proposta orçamentária, os estudos e as estimativas das receitas para o exercício </w:t>
      </w:r>
      <w:r w:rsidR="000500FE" w:rsidRPr="000500FE">
        <w:rPr>
          <w:rFonts w:eastAsiaTheme="minorHAnsi"/>
          <w:color w:val="000000"/>
          <w:sz w:val="22"/>
          <w:szCs w:val="22"/>
          <w:lang w:eastAsia="en-US"/>
        </w:rPr>
        <w:t>subsequente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, inclusive da corrente líquida, e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as respectivas memórias de cálculo.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Parágrafo único. A entidade da Administração Indireta e o Poder Legislativo, encaminharão ao Setor de Planejamento e Contabilidade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do Poder Executivo, até 15 dias antes do prazo definido no caput, os estudos e as estimativas das suas receitas orçamentárias para o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exercício </w:t>
      </w:r>
      <w:r w:rsidR="000500FE" w:rsidRPr="000500FE">
        <w:rPr>
          <w:rFonts w:eastAsiaTheme="minorHAnsi"/>
          <w:color w:val="000000"/>
          <w:sz w:val="22"/>
          <w:szCs w:val="22"/>
          <w:lang w:eastAsia="en-US"/>
        </w:rPr>
        <w:t>subsequente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e as respectivas memórias de cálculo, para fins de consolidação da receita municipal.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9º.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O Poder Legislativo e a entidade da Administração Indireta encaminhar</w:t>
      </w:r>
      <w:r w:rsidR="000500FE" w:rsidRPr="000500FE">
        <w:rPr>
          <w:rFonts w:eastAsiaTheme="minorHAnsi"/>
          <w:color w:val="000000"/>
          <w:sz w:val="22"/>
          <w:szCs w:val="22"/>
          <w:lang w:eastAsia="en-US"/>
        </w:rPr>
        <w:t>ão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ao Setor de Planejamento e Contabilidade do Poder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Executivo, até 10 de agosto de 2019, suas respectivas propostas orçamentárias, para fins de consolidação do projeto de Lei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orçamentária.</w:t>
      </w:r>
    </w:p>
    <w:p w:rsidR="003F5C90" w:rsidRPr="000500FE" w:rsidRDefault="003F5C90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10.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Na programação da despesa não poderão ser fixadas despesas sem que estejam definidas as respectivas fontes de recursos,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de forma a evitar o comprometimento do equilíbrio orçamentário entre a receita e a despesa.</w:t>
      </w:r>
    </w:p>
    <w:p w:rsidR="003F5C90" w:rsidRPr="000500FE" w:rsidRDefault="003F5C90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11.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A lei orçamentária discriminará, nos órgãos da administração direta e nas entidades da administração indireta responsáveis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pelo débito, as dotações destinadas ao pagamento de precatórios judiciais em cumprimento ao disposto no art. 100 da Constituição da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República.</w:t>
      </w:r>
    </w:p>
    <w:p w:rsidR="000500FE" w:rsidRPr="000500FE" w:rsidRDefault="000500FE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1º. Para fins de acompanhamento, controle e centralização, os órgãos da administração direta e as entidades da administração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indireta submeterão os processos referentes ao pagamento de precatórios à apreciação da Procuradoria do Município.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2º. Os recursos alocados para os fins previstos no caput deste artigo não poderão ser cancelados para abertura de créditos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adicionais com outra finalidade, exceto no caso de saldo orçamentário remanescente ocioso.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Subseção II</w:t>
      </w: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Das Disposições Relativas à Dívida e ao Endividamento Público Municipal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lastRenderedPageBreak/>
        <w:t>Art. 12.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A administração da dívida pública municipal interna tem por objetivo principal minimizar custos, reduzir o montante da Dívida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pública e viabilizar fontes alternativas de recursos para o Tesouro Municipal.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1º. Deverão ser garantidos, na lei orçamentária, os recursos necessários para pagamento da dívida.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2º. O Município, por meio de seus órgãos e entidades, subordinar-se-á às normas estabelecidas na Resolução nº 40/2001 do Senado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Federal, que dispõe sobre os limites globais para o montante da dívida pública consolidada e da dívida pública mobiliária, em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atendimento ao disposto no art. 52, incisos VI e IX, da Constituição da República.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13.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Na lei orçamentária para o exercício de 2020, as despesas com amortização, juros e demais encargos da dívida serão </w:t>
      </w:r>
      <w:r w:rsidR="000500FE">
        <w:rPr>
          <w:rFonts w:eastAsiaTheme="minorHAnsi"/>
          <w:color w:val="000000"/>
          <w:sz w:val="22"/>
          <w:szCs w:val="22"/>
          <w:lang w:eastAsia="en-US"/>
        </w:rPr>
        <w:t>f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ixadas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com base nas operações contratadas.</w:t>
      </w:r>
    </w:p>
    <w:p w:rsidR="003F5C90" w:rsidRPr="000500FE" w:rsidRDefault="003F5C90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Art. 14.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A lei orçamentária poderá conter autorização para contratação de operações de crédito pelo Poder Executivo, a qual ficará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condicionada ao atendimento das normas estabelecidas na Lei Complementar nº 101/2000 e na Resolução nº 43/2001 do Senado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Federal.</w:t>
      </w:r>
    </w:p>
    <w:p w:rsidR="003F5C90" w:rsidRPr="000500FE" w:rsidRDefault="003F5C90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15.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A lei orçamentária poderá conter autorização para a realização de operações de crédito por antecipação de receita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orçamentária, desde que observado o disposto no art. 38 da Lei Complementar nº 101/2000 e atendidas as exigências estabelecidas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na Resolução nº 43/2001 do Senado Federal.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Subseção III</w:t>
      </w: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Da Definição de Montante e Forma de Utilização da Reserva de Contingência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16.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A lei orçamentária conterá reserva de contingência constituída exclusivamente com recursos do orçamento fiscal e será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equivalente a, no mínimo, 1% (um por cento) da receita corrente líquida prevista na proposta orçamentária de 2020, destinada ao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atendimento de passivos contingentes, outros riscos e eventos fiscais imprevistos e reforço das dotações orçamentárias que se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tornarem insuficientes.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1º A Reserva de Contingência poderá ser utilizada, ainda, para resguardar os recursos previstos para celebração de convênios com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entidades sem fins lucrativos, cujos projetos de aplicação ainda estejam em fase de análise pelo Poder Executivo e que ainda não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tenham sido aprovados pelo Poder Legislativo em leis específicas.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2º Os valores mencionados no parágrafo anterior não serão computados no montante de 1% (um por cento) previsto no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caput,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devendo ser adicionados ao montante previsto para passivos contingentes;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3º Os valores previstos para repasse às entidades, conforme mencionado no parágrafo primeiro, se constituem em meras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estimativas e não se confundem com a autorização para repasse às entidades, motivo pelo qual o Poder Executivo não está obrigado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a relacionar as entidades beneficiárias, ou o valor destinado a cada uma.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4º Os valores previstos para repasse às entidades que por qualquer motivo não se realizarem, poderão ser utilizados para Abertura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de créditos adicionais ao orçamento.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Seção III</w:t>
      </w: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Da Política de Pessoal e dos Serviços Extraordinários</w:t>
      </w: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Subseção I</w:t>
      </w: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Das Disposições Sobre Política de Pessoal e Encargos Sociais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lastRenderedPageBreak/>
        <w:t>Art. 17.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Para fins de atendimento ao disposto no art. 169, § 1º, inciso II, da Constituição da República, observado o inciso I do mesmo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parágrafo, ficam autorizadas as concessões de quaisquer vantagens, aumentos de remuneração, criação de cargos, empregos e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funções, alterações de estrutura de carreiras, bem como admissões ou contratações de pessoal a qualquer título, desde que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observado o disposto nos artigos 15, 16 e 17 da Lei Complementar nº 101/2000.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1º. Além de observar as normas do caput, no exercício financeiro de 2020 as despesas com pessoal dos Poderes Executivo e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Legislativo deverão atender as disposições contidas nos artigos 18, 19 e 20 da Lei Complementar nº 101/2000.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2º. Se a despesa total com pessoal ultrapassar os limites estabelecidos no art. 19 da Lei Complementar nº 101/2000, serão adotadas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as medidas de que tratam os §§ 3º e 4º do art. 169 da Constituição da República.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Subseção II</w:t>
      </w: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Da Previsão para Contratação Excepcional de Horas Extras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18.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Se durante o exercício de 2020 a despesa com pessoal atingir o limite de que trata o parágrafo único do art. 22 da Lei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Complementar nº 101/2000, o pagamento da realização de serviço extraordinário somente poderá ocorrer quando destinada ao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atendimento de relevante interesse público que ensejem situações emergenciais de risco ou de prejuízo para a sociedade.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Parágrafo único. A autorização para a realização de serviço extraordinário para atender as situações previstas no caput deste artigo,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no âmbito do Poder Executivo é de exclusiva competência do Prefeito Municipal e no âmbito do Poder Legislativo é de exclusiva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competência do Presidente da Câmara.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Seção IV</w:t>
      </w: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Das Disposições Sobre a Receita e Alterações na Legislação Tributária do Município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19.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A estimativa da receita que constará do projeto de lei orçamentária para o exercício de 2020, com vistas à expansão da base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tributária e </w:t>
      </w:r>
      <w:r w:rsidR="000500FE" w:rsidRPr="000500FE">
        <w:rPr>
          <w:rFonts w:eastAsiaTheme="minorHAnsi"/>
          <w:color w:val="000000"/>
          <w:sz w:val="22"/>
          <w:szCs w:val="22"/>
          <w:lang w:eastAsia="en-US"/>
        </w:rPr>
        <w:t>consequente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aumento das receitas próprias, contemplará medidas de aperfeiçoamento da administração dos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Tributos municipais, dentre as quais: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aperfeiçoamento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do sistema de formação, tramitação e julgamento dos processos tributário-administrativos, visando à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racionalização, simplificação e agilização;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aperfeiçoamento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dos sistemas de fiscalização, cobrança e arrecadação de tributos, objetivando a sua maior exatidão;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III – aperfeiçoamento dos processos tributário-administrativos, por meio da revisão e racionalização das rotinas e processos,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objetivando a modernização, a padronização de atividades, a melhoria dos controles internos e a eficiência na prestação de serviços;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IV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aplicação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das penalidades fiscais como instrumento inibitório da prática de infração da legislação tributária.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20.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A estimativa da receita de que trata o artigo anterior levará em consideração, adicionalmente, o impacto de alteração na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legislação tributária, com destaque para: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atualização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da planta genérica de valores do Município;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revisão, atualização ou adequação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da legislação sobre Imposto Predial e Territorial Urbano, suas alíquotas, forma de cálculo,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condições de pagamentos, descontos e isenções, inclusive com relação à progressividade deste imposto;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lastRenderedPageBreak/>
        <w:t>III – revisão da legislação sobre o uso do solo, com redefinição dos limites da zona urbana municipal;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IV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revisão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da legislação referente ao Imposto Sobre Serviços de Qualquer Natureza;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V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revisão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da legislação aplicável ao Imposto sobre Transmissão </w:t>
      </w:r>
      <w:proofErr w:type="spellStart"/>
      <w:r w:rsidRPr="000500FE">
        <w:rPr>
          <w:rFonts w:eastAsiaTheme="minorHAnsi"/>
          <w:color w:val="000000"/>
          <w:sz w:val="22"/>
          <w:szCs w:val="22"/>
          <w:lang w:eastAsia="en-US"/>
        </w:rPr>
        <w:t>Intervivos</w:t>
      </w:r>
      <w:proofErr w:type="spell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de Bens Imóveis e de Direitos Reais sobre Imóveis;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VI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instituição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de taxas pela utilização efetiva ou potencial de serviços públicos específicos e divisíveis, prestados ao contribuinte ou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postos a sua disposição;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VII – revisão da legislação sobre as taxas pelo exercício do poder de polícia;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VIII – revisão das isenções dos tributos municipais, para manter o interesse público e a justiça fiscal;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IX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instituição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, por lei específica, da Contribuição de Melhoria com a finalidade de tornar </w:t>
      </w:r>
      <w:r w:rsidR="000500FE" w:rsidRPr="000500FE">
        <w:rPr>
          <w:rFonts w:eastAsiaTheme="minorHAnsi"/>
          <w:color w:val="000000"/>
          <w:sz w:val="22"/>
          <w:szCs w:val="22"/>
          <w:lang w:eastAsia="en-US"/>
        </w:rPr>
        <w:t>exequível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a sua cobrança;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X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a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instituição de novos tributos ou a modificação, em decorrência de alterações legais, daqueles já instituídos.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XI – instituição progressiva da obrigatoriedade da emissão de Nota Fiscal Eletrônica de serviços.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21.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O projeto de lei que conceda ou amplie incentivo ou benefício de natureza tributária somente será aprovado se atendidas as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exigências do art. 14 da Lei Complementar nº 101/2000.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22.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Na estimativa das receitas do projeto de lei orçamentária poderão ser considerados os efeitos de propostas de alterações na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legislação tributária que estejam em tramitação na Câmara Municipal.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1º. Caso as alterações propostas não sejam aprovadas, ou o sejam parcialmente, de forma a não permitir a integralização dos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recursos esperados, as dotações à conta das referidas receitas serão canceladas, mediante decreto, nos 30 (trinta) dias subsequentes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à publicação do projeto de lei orçamentária de 2020.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2º. No caso de não-aprovação das propostas de alteração previstas no caput, poderá ser efetuada a substituição das fontes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condicionadas por excesso de arrecadação de outras fontes, inclusive de operações de crédito, ou por superávit financeiro apurado em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balanço patrimonial do exercício anterior, antes do cancelamento previsto no § 1º deste artigo.</w:t>
      </w:r>
    </w:p>
    <w:p w:rsidR="006224FD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i/>
          <w:iCs/>
          <w:color w:val="0000FF"/>
          <w:sz w:val="22"/>
          <w:szCs w:val="22"/>
          <w:lang w:eastAsia="en-US"/>
        </w:rPr>
        <w:t xml:space="preserve"> </w:t>
      </w: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Seção V</w:t>
      </w: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Do Equilíbrio Entre Receitas e Despesas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23.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A elaboração do projeto, a aprovação e a execução da lei orçamentária do exercício de 2020 serão orientadas no sentido de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alcançar o superávit primário necessário para garantir uma trajetória de solidez financeira da administração municipal,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conforme discriminado no Anexo de Metas Fiscais, constante desta Lei.</w:t>
      </w:r>
    </w:p>
    <w:p w:rsidR="003F5C90" w:rsidRPr="000500FE" w:rsidRDefault="003F5C90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24.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Os projetos de lei que impliquem em diminuição de receita ou aumento de despesa do Município no exercício de 2020 deverão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estar acompanhados de demonstrativos que discriminem o montante estimado da diminuição da receita ou do aumento da despesa,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para cada um dos exercícios compreendidos no período de 2018 a 2021, demonstrando a memória de cálculo respectiva.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Parágrafo único. Não será aprovado projeto de lei que implique em aumento de despesa sem que estejam acompanhados das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medidas definidas nos </w:t>
      </w:r>
      <w:proofErr w:type="spellStart"/>
      <w:r w:rsidRPr="000500FE">
        <w:rPr>
          <w:rFonts w:eastAsiaTheme="minorHAnsi"/>
          <w:color w:val="000000"/>
          <w:sz w:val="22"/>
          <w:szCs w:val="22"/>
          <w:lang w:eastAsia="en-US"/>
        </w:rPr>
        <w:t>arts</w:t>
      </w:r>
      <w:proofErr w:type="spellEnd"/>
      <w:r w:rsidRPr="000500FE">
        <w:rPr>
          <w:rFonts w:eastAsiaTheme="minorHAnsi"/>
          <w:color w:val="000000"/>
          <w:sz w:val="22"/>
          <w:szCs w:val="22"/>
          <w:lang w:eastAsia="en-US"/>
        </w:rPr>
        <w:t>. 16 e 17 da Lei Complementar nº 101/2000.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25.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As estratégias para busca ou manutenção do equilíbrio entre as receitas e despesas poderão levar em conta as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Seguintes medidas: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para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elevação das receitas: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a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a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implementação das medidas previstas nos </w:t>
      </w:r>
      <w:proofErr w:type="spellStart"/>
      <w:r w:rsidRPr="000500FE">
        <w:rPr>
          <w:rFonts w:eastAsiaTheme="minorHAnsi"/>
          <w:color w:val="000000"/>
          <w:sz w:val="22"/>
          <w:szCs w:val="22"/>
          <w:lang w:eastAsia="en-US"/>
        </w:rPr>
        <w:t>arts</w:t>
      </w:r>
      <w:proofErr w:type="spellEnd"/>
      <w:r w:rsidRPr="000500FE">
        <w:rPr>
          <w:rFonts w:eastAsiaTheme="minorHAnsi"/>
          <w:color w:val="000000"/>
          <w:sz w:val="22"/>
          <w:szCs w:val="22"/>
          <w:lang w:eastAsia="en-US"/>
        </w:rPr>
        <w:t>. 20 e 21 desta Lei;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b – atualização e informatização do cadastro imobiliário;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c – chamamento geral dos contribuintes inscritos na Dívida Ativa.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para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redução das despesas:</w:t>
      </w:r>
    </w:p>
    <w:p w:rsidR="003F5C90" w:rsidRPr="000500FE" w:rsidRDefault="003F5C90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a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utilização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da modalidade de licitação denominada pregão e implantação de rigorosa pesquisa de preços, de forma a reduzir custos</w:t>
      </w:r>
      <w:r w:rsidR="003F5C90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de toda e qualquer compra e evitar a cartelização dos fornecedores;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b – revisão geral das gratificações concedidas aos servidores.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Seção VI</w:t>
      </w: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Dos Critérios e Formas de Limitação de Empenho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26.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Na hipótese de ocorrência das circunstâncias estabelecidas no caput do artigo 9º, e no inciso II do § 1º do artigo 31, da Lei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Complementar nº 101/2000, o Poder Executivo e o Poder Legislativo procederão à respectiva limitação de empenho e de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movimentação financeira, calculada de forma proporcional à participação dos Poderes no total das dotações iniciais constantes da lei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orçamentária de 2020, utilizando para tal fim as cotas orçamentárias e financeiras.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1º. O Poder Executivo comunicará ao Poder Legislativo o montante que lhe caberá tornar indisponível para empenho e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movimentação financeira, conforme proporção estabelecida no caput deste artigo.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2º. Os Poderes Executivo e Legislativo, com base na comunicação de que trata o parágrafo anterior, emitirão e publicarão ato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Próprio estabelecendo os montantes que caberão aos respectivos órgãos e entidades na limitação do empenho e da movimentação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financeira.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3º. Se verificado, ao final de um bimestre, que a realização da receita não será suficiente para garantir o equilíbrio das contas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públicas, adotar-se-ão as mesmas medidas previstas neste artigo.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Seção VII</w:t>
      </w: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Das Normas Relativas ao Controle de Custos e Avaliação dos Resultados dos Programas Financiados com Recursos dos Orçamentos.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27.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O Poder Executivo realizará estudos visando a definição de sistema de controle de custos e a avaliação do resultado dos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programas de governo.</w:t>
      </w:r>
    </w:p>
    <w:p w:rsidR="00BB4597" w:rsidRPr="000500FE" w:rsidRDefault="00BB4597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28.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Além de observar as demais diretrizes estabelecidas nesta Lei, a alocação dos recursos na lei orçamentária e em seus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Créditos adicionais, bem como a respectiva execução, serão feitas de forma a propiciar o controle de custos e a avaliação dos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resultados dos programas de governo.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1º. A lei orçamentária de 2020 e seus créditos adicionais deverão agregar todas as ações governamentais necessárias ao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cumprimento dos objetivos dos respectivos programas, sendo que as ações governamentais que não contribuírem para a realização de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um programa específico deverão ser agregadas num programa denominado “Apoio Administrativo” ou de finalidade semelhante.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2º. Merecerá destaque o aprimoramento da gestão orçamentária, financeira e patrimonial, por intermédio da modernização dos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instrumentos de planejamento, execução, avaliação e controle interno.</w:t>
      </w:r>
    </w:p>
    <w:p w:rsidR="006224FD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3º. O Poder Executivo promoverá amplo esforço de redução de custos, otimização de gastos e reordenamento de despesas do setor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público municipal, sobretudo pelo aumento da produtividade na prestação de serviços públicos e sociais.</w:t>
      </w:r>
    </w:p>
    <w:p w:rsidR="000500FE" w:rsidRDefault="000500FE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0500FE" w:rsidRDefault="000500FE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0500FE" w:rsidRDefault="000500FE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0500FE" w:rsidRPr="000500FE" w:rsidRDefault="000500FE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Seção VIII</w:t>
      </w: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Das Condições e Exigências para Transferências de Recursos a Entidades Públicas e Privadas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29.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É vedada a inclusão, na lei orçamentária e em seus créditos adicionais, de dotações a título de subvenções sociais,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ressalvadas as autorizadas mediante lei específica que sejam destinadas: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às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entidades que prestem atendimento direto ao público, de forma gratuita, nas áreas de assistência social, saúde, educação ou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cultura;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às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entidades sem fins lucrativos que realizem atividades de natureza continuada;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III – às entidades que tenham sido declaradas por lei como utilidade pública.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Parágrafo único. Para habilitar-se ao recebimento de subvenções sociais, a entidade privada sem fins lucrativos deverá apresentar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declaração de regular funcionamento, emitida no exercício de 2020 por, no mínimo, uma autoridade local e comprovante da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regularidade do mandato de sua diretoria.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30.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É vedada a inclusão, na lei orçamentária e em seus créditos adicionais, de dotações a título de auxílios e contribuições para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entidades públicas e/ou privadas, ressalvadas as autorizadas mediante lei específica e desde que sejam: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de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atendimento direto e gratuito ao público, voltadas para as ações relativas ao ensino, saúde, cultura, assistência social,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agropecuária, de proteção ao meio ambiente e as que prestam serviços de utilidade pública;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associações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ou consórcios intermunicipais, constituídos exclusivamente por entes públicos, legalmente instituídos e signatários de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contrato de gestão com a administração pública municipal e que participem da execução de programas municipais.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31.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É vedada a inclusão, na lei orçamentária e em seus créditos adicionais, de dotações a título de contribuições para entidades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privadas de fins lucrativos, ressalvadas as instituídas por lei específica no âmbito do Município que sejam destinadas aos programas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de desenvolvimento local.</w:t>
      </w:r>
    </w:p>
    <w:p w:rsidR="00BB4597" w:rsidRPr="000500FE" w:rsidRDefault="00BB4597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32.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É vedada a inclusão, na lei orçamentária e em seus créditos adicionais, de dotação para a realização de transferência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financeira a outro ente da federação, exceto para atender as situações que envolvam claramente o atendimento de interesses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locais,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observadas as exigências do art. 25 da Lei Complementar nº 101/2000.</w:t>
      </w:r>
    </w:p>
    <w:p w:rsidR="00BB4597" w:rsidRPr="000500FE" w:rsidRDefault="00BB4597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33.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As entidades beneficiadas com os recursos públicos previstos nesta Seção, a qualquer título, submeter-se-ão à fiscalização do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Poder Executivo com a finalidade de verificar o cumprimento dos objetivos para os quais receberam os recursos.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34.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As transferências de recursos às entidades previstas nos </w:t>
      </w:r>
      <w:proofErr w:type="spellStart"/>
      <w:r w:rsidRPr="000500FE">
        <w:rPr>
          <w:rFonts w:eastAsiaTheme="minorHAnsi"/>
          <w:color w:val="000000"/>
          <w:sz w:val="22"/>
          <w:szCs w:val="22"/>
          <w:lang w:eastAsia="en-US"/>
        </w:rPr>
        <w:t>arts</w:t>
      </w:r>
      <w:proofErr w:type="spellEnd"/>
      <w:r w:rsidRPr="000500FE">
        <w:rPr>
          <w:rFonts w:eastAsiaTheme="minorHAnsi"/>
          <w:color w:val="000000"/>
          <w:sz w:val="22"/>
          <w:szCs w:val="22"/>
          <w:lang w:eastAsia="en-US"/>
        </w:rPr>
        <w:t>. 30 a 33 desta Seção deverão ser precedidas da aprovação de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plano pelo respectivo Conselho Municipal ou na inexistência deste pelo respectivo Secretário Municipal, da aprovação por parte do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Poder Legislativo e da celebração de convênio, devendo ser observadas na elaboração de tais instrumentos as exigências do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art.116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da Lei nº 8.666/1993, ou de outra Lei que vier substituí-la ou alterá-la.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lastRenderedPageBreak/>
        <w:t>§ 1º. Compete ao órgão ou entidade concedente o acompanhamento da realização do plano de trabalho executado com recursos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transferidos pelo Município.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2º. É vedada a celebração de convênio com entidade em situação irregular com o Município, em decorrência de transferência feita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anteriormente.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3º. Excetuam-se do cumprimento dos dispositivos legais a que se refere o caput deste artigo as caixas escolares da rede pública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municipal de ensino que receberem recursos diretamente do Governo Federal por meio do PDDE – Programa Dinheiro Direto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Na Escola.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35.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É vedada a destinação, na lei orçamentária e em seus créditos adicionais, de recursos para diretamente cobrir necessidades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de pessoas físicas, ressalvadas as que atendam </w:t>
      </w:r>
      <w:proofErr w:type="spellStart"/>
      <w:r w:rsidRPr="000500FE">
        <w:rPr>
          <w:rFonts w:eastAsiaTheme="minorHAnsi"/>
          <w:color w:val="000000"/>
          <w:sz w:val="22"/>
          <w:szCs w:val="22"/>
          <w:lang w:eastAsia="en-US"/>
        </w:rPr>
        <w:t>as</w:t>
      </w:r>
      <w:proofErr w:type="spell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exigências do art. 26 da Lei Complementar nº 101/2000 e sejam observadas as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condições definidas na lei específica.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Parágrafo único. As normas do caput deste artigo não se aplicam a ajuda a pessoas físicas custeadas pelos recursos do Sistema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Único de Saúde.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36.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A transferência de recursos financeiros de uma entidade para outra, inclusive da Prefeitura Municipal para as entidades da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Administração Indireta e para a Câmara Municipal, fica limitada ao valor previsto na lei orçamentária anual e em seus créditos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adicionais.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Parágrafo único. O aumento da transferência de recursos financeiros de uma entidade para outra somente poderá ocorrer mediante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prévia autorização legislativa, conforme determina o art. 167, inciso VI da Constituição da República.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Seção IX</w:t>
      </w: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Da Autorização para o Município Auxiliar no Custeio de Despesas de Competência de Outros Entes da Federação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37.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É vedada a inclusão, na lei orçamentária e em seus créditos adicionais, de dotações para que o Município contribua para o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custeio de despesas de competência de outro ente da federação, ressalvadas as autorizadas mediante lei específica e que sejam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destinadas ao atendimento das situações que envolvam claramente o interesse local.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Parágrafo único. A realização da despesa definida no caput deste artigo deverá ser precedida da aprovação de plano de trabalho e da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celebração de convênio, de acordo com o art. 116 da Lei nº 8.666/1993.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Seção X</w:t>
      </w:r>
    </w:p>
    <w:p w:rsidR="006224FD" w:rsidRPr="000500FE" w:rsidRDefault="006224FD" w:rsidP="009708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Dos Parâmetros para a Elaboração da Programação Financeira e do Cronograma Mensal de Desembolso.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EE406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38.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O Poder Executivo estabelecerá por ato próprio, até 30 (trinta) dias após a publicação da lei orçamentária de 2020, as metas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bimestrais de arrecadação, a programação financeira e o cronograma mensal de desembolso, respectivamente, nos termos dos </w:t>
      </w:r>
      <w:proofErr w:type="spellStart"/>
      <w:r w:rsidRPr="000500FE">
        <w:rPr>
          <w:rFonts w:eastAsiaTheme="minorHAnsi"/>
          <w:color w:val="000000"/>
          <w:sz w:val="22"/>
          <w:szCs w:val="22"/>
          <w:lang w:eastAsia="en-US"/>
        </w:rPr>
        <w:t>arts</w:t>
      </w:r>
      <w:proofErr w:type="spellEnd"/>
      <w:r w:rsidRPr="000500FE">
        <w:rPr>
          <w:rFonts w:eastAsiaTheme="minorHAnsi"/>
          <w:color w:val="000000"/>
          <w:sz w:val="22"/>
          <w:szCs w:val="22"/>
          <w:lang w:eastAsia="en-US"/>
        </w:rPr>
        <w:t>.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13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e 8º da Lei Complementar nº 101/2000.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1º. Para atender ao caput deste artigo, as entidades da administração indireta e o Poder Legislativo encaminharão ao Setor de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Planejamento e Contabilidade do Município, até 15 quinze dias após a publicação da lei orçamentária de 2020, os seguintes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demonstrativos: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as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metas mensais de arrecadação de receitas, de forma a atender o disposto no art. 13 da Lei Complementar nº 101/2000;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a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programação financeira das despesas, nos termos do art. 8º da Lei Complementar nº 101/2000;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III – o cronograma mensal de desembolso, incluídos os pagamentos dos restos a pagar, nos termos do art. 8º da Lei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Complementar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nº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101/2000.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2º. O Poder Executivo deverá dar publicidade às metas bimestrais de arrecadação, à programação financeira e ao cronograma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mensal de desembolso, no órgão oficial de publicação do Município até 30 (trinta) dias após a publicação da lei orçamentária de 2020;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3º. A programação financeira e o cronograma mensal de desembolso, de que trata o caput deste artigo, deverão ser elaborados de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forma a garantir o cumprimento da meta de resultado primário estabelecida nesta Lei.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EE406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Seção XI</w:t>
      </w:r>
    </w:p>
    <w:p w:rsidR="006224FD" w:rsidRPr="000500FE" w:rsidRDefault="006224FD" w:rsidP="00EE406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Da Definição de Critérios para Início de Novos Projetos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EE406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39.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Além da observância das metas e prioridades definidas nos termos do artigo 2º desta Lei, a lei orçamentária de 2020 e seus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créditos adicionais, observado o disposto no art. 45 da Lei Complementar nº 101/2000, somente incluirão projetos novos se: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estiverem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compatíveis com o Plano Plurianual de 2018-2021 e com as normas desta Lei;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as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dotações consignadas às obras já iniciadas forem suficientes para o atendimento de seu cronograma físico-financeiro;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III – estiverem preservados os recursos necessários à conservação do patrimônio público;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Parágrafo único. Considera-se projeto em andamento para os efeitos desta Lei, aquele cuja execução iniciar-se até a data de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encaminhamento da proposta orçamentária de 2020, cujo cronograma de execução ultrapasse o término do exercício de 2019.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EE406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Seção XII</w:t>
      </w:r>
    </w:p>
    <w:p w:rsidR="006224FD" w:rsidRPr="000500FE" w:rsidRDefault="006224FD" w:rsidP="00EE406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Da Definição das Despesas Consideradas Irrelevantes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EE406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40.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Para fins do disposto no § 3º do art. 16 da Lei Complementar nº 101/2000, são consideradas despesas irrelevantes aquelas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cujo valor não ultrapasse os limites previstos nos incisos I e II do art. 24 da Lei nº 8.666/1993, nos casos, respectivamente, de obras e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serviços de engenharia e de outros serviços e compras.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EE406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Seção XIII</w:t>
      </w:r>
    </w:p>
    <w:p w:rsidR="006224FD" w:rsidRPr="000500FE" w:rsidRDefault="006224FD" w:rsidP="00EE406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Do Incentivo à Participação Popular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EE406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41.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O projeto de lei orçamentária do Município, relativo ao exercício financeiro de 2020, deverá assegurar a transparência na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elaboração e execução do orçamento.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Parágrafo único. O princípio da transparência implica, além da observância do princípio constitucional da publicidade, na utilização dos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meios disponíveis para garantir o efetivo acesso dos munícipes às informações relativas ao orçamento.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EE406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42.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Será assegurada ao cidadão a participação nas audiências públicas para: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elaboração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da proposta orçamentária de 2020, mediante regular processo de consulta;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avaliação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das metas fiscais, conforme definido no art. 9º, § 4º, da Lei Complementar nº 101/2000, ocasião em que o Poder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Executivo demonstrará o comportamento das metas previstas nesta Lei.</w:t>
      </w:r>
    </w:p>
    <w:p w:rsidR="006224FD" w:rsidRPr="000500FE" w:rsidRDefault="006224FD" w:rsidP="00EE406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Seção XIV</w:t>
      </w:r>
    </w:p>
    <w:p w:rsidR="006224FD" w:rsidRPr="000500FE" w:rsidRDefault="006224FD" w:rsidP="00EE406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Das Disposições Gerais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EE406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43.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O Poder Executivo poderá, mediante decreto, transpor, remanejar, transferir ou utilizar, total ou parcialmente, as dotações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orçamentárias aprovadas na lei orçamentária de 2020 e em seus créditos adicionais, em decorrência de extinção, transformação,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transferência, incorporação ou desmembramento de órgãos e entidades, bem como de alterações de suas competências ou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atribuições, mantida a estrutura programática, expressa por categoria de programação, conforme definida no art. 3º desta Lei.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1º. As categorias de programação, aprovadas na lei orçamentária de 2020 e em seus créditos adicionais, poderão ser modificadas,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por meio de decreto, para atender às necessidades de execução, desde que verificada a inviabilidade técnica, operacional ou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econômica da execução do crédito, criando, quando necessário, novas naturezas de despesa.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2º As transposições, remanejamentos ou transferências poderão ocorrer também entre dotações orçamentárias constantes do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mesmo Projeto, Atividade ou Operação Especial e, em casos específicos e devidamente justificados, dentro do mesmo Programa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constante do Plano Plurianual, por meio de Decreto do Poder Executivo.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EE406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44.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Durante a execução orçamentária do exercício de 2020, fica o Poder Executivo autorizado a suplementar recursos até o limite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de 20% (vinte por cento) do total da despesa fixada na Lei Orçamentária.</w:t>
      </w:r>
    </w:p>
    <w:p w:rsidR="00BB4597" w:rsidRPr="000500FE" w:rsidRDefault="00BB4597" w:rsidP="00EE406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EE406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45.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A abertura de créditos suplementares e especiais dependerá de prévia autorização legislativa e da existência de recursos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disponíveis para cobrir a despesa, nos termos da Lei nº 4.320/1964 e da Constituição da República.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1º. Acompanharão os projetos de lei relativos a créditos adicionais e suplementares exposições de motivos circunstanciadas que os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justifiquem e que indiquem as </w:t>
      </w:r>
      <w:r w:rsidR="000500FE" w:rsidRPr="000500FE">
        <w:rPr>
          <w:rFonts w:eastAsiaTheme="minorHAnsi"/>
          <w:color w:val="000000"/>
          <w:sz w:val="22"/>
          <w:szCs w:val="22"/>
          <w:lang w:eastAsia="en-US"/>
        </w:rPr>
        <w:t>consequências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dos cancelamentos de dotações propostos.</w:t>
      </w:r>
    </w:p>
    <w:p w:rsidR="00BB4597" w:rsidRPr="000500FE" w:rsidRDefault="00BB4597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EE406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46.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A reabertura dos créditos especiais e extraordinários, conforme disposto no art. 167, § 2º, da Constituição da República, será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efetivada mediante decreto do Prefeito Municipal, utilizando os recursos previstos no art. 43 da Lei nº 4.320/1964.</w:t>
      </w:r>
    </w:p>
    <w:p w:rsidR="00BB4597" w:rsidRPr="000500FE" w:rsidRDefault="00BB4597" w:rsidP="00EE406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EE406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47.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O Poder Executivo poderá encaminhar mensagem ao Poder Legislativo para propor modificações no projeto de lei</w:t>
      </w:r>
      <w:r w:rsidR="00BB4597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orçamentária anual, enquanto não iniciada a sua votação, no tocante as partes cuja alteração é proposta.</w:t>
      </w:r>
    </w:p>
    <w:p w:rsidR="00BB4597" w:rsidRPr="000500FE" w:rsidRDefault="00BB4597" w:rsidP="00EE406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EE406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48.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Se o projeto de lei orçamentária de 2020 não for sancionado pelo Prefeito até 31 de dezembro de 2019, a programação dele</w:t>
      </w:r>
      <w:r w:rsidR="00B672D4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constante poderá ser executada para o atendimento das seguintes despesas:</w:t>
      </w:r>
    </w:p>
    <w:p w:rsidR="00B672D4" w:rsidRPr="000500FE" w:rsidRDefault="00B672D4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pessoal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e encargos sociais;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II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benefícios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previdenciários;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lastRenderedPageBreak/>
        <w:t>III – amortização, juros e encargos da dívida;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IV – PIS-PASEP;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V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demais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despesas que constituem obrigações constitucionais ou legais do Município;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VI – </w:t>
      </w:r>
      <w:proofErr w:type="gramStart"/>
      <w:r w:rsidRPr="000500FE">
        <w:rPr>
          <w:rFonts w:eastAsiaTheme="minorHAnsi"/>
          <w:color w:val="000000"/>
          <w:sz w:val="22"/>
          <w:szCs w:val="22"/>
          <w:lang w:eastAsia="en-US"/>
        </w:rPr>
        <w:t>outras</w:t>
      </w:r>
      <w:proofErr w:type="gramEnd"/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despesas correntes de caráter inadiável.</w:t>
      </w:r>
    </w:p>
    <w:p w:rsidR="00B672D4" w:rsidRPr="000500FE" w:rsidRDefault="00B672D4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1º As despesas descritas no inciso VI deste artigo estão limitadas à 1/12 (um doze avos) do total de cada ação prevista no projeto de</w:t>
      </w:r>
      <w:r w:rsidR="00B672D4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lei orçamentária de 2020, multiplicado pelo número de meses decorridos até a sanção da respectiva lei.</w:t>
      </w:r>
    </w:p>
    <w:p w:rsidR="006224FD" w:rsidRPr="000500FE" w:rsidRDefault="006224FD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color w:val="000000"/>
          <w:sz w:val="22"/>
          <w:szCs w:val="22"/>
          <w:lang w:eastAsia="en-US"/>
        </w:rPr>
        <w:t>§ 2º Na execução de outras despesas correntes de caráter inadiável, a que se refere o inciso VI do caput, o ordenador de despesa</w:t>
      </w:r>
      <w:r w:rsidR="00B672D4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poderá considerar os valores constantes do projeto de lei orçamentária de 2020 para fins do cumprimento do disposto no art. 16 da Lei</w:t>
      </w:r>
      <w:r w:rsidR="00B672D4" w:rsidRPr="000500F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>Complementar nº 101/2000.</w:t>
      </w:r>
    </w:p>
    <w:p w:rsidR="00B672D4" w:rsidRPr="000500FE" w:rsidRDefault="00B672D4" w:rsidP="006224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24FD" w:rsidRPr="000500FE" w:rsidRDefault="006224FD" w:rsidP="00EE406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00FE">
        <w:rPr>
          <w:rFonts w:eastAsiaTheme="minorHAnsi"/>
          <w:b/>
          <w:bCs/>
          <w:color w:val="000000"/>
          <w:sz w:val="22"/>
          <w:szCs w:val="22"/>
          <w:lang w:eastAsia="en-US"/>
        </w:rPr>
        <w:t>Art. 49.</w:t>
      </w:r>
      <w:r w:rsidRPr="000500FE">
        <w:rPr>
          <w:rFonts w:eastAsiaTheme="minorHAnsi"/>
          <w:color w:val="000000"/>
          <w:sz w:val="22"/>
          <w:szCs w:val="22"/>
          <w:lang w:eastAsia="en-US"/>
        </w:rPr>
        <w:t xml:space="preserve"> Esta Lei entra em vigor na data de sua publicação, revogando-se as disposições em contrário.</w:t>
      </w:r>
    </w:p>
    <w:p w:rsidR="00B672D4" w:rsidRPr="000500FE" w:rsidRDefault="00B672D4" w:rsidP="00B672D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:rsidR="00FA7B21" w:rsidRPr="000500FE" w:rsidRDefault="006224FD" w:rsidP="00B672D4">
      <w:pPr>
        <w:pStyle w:val="Corpodetexto"/>
        <w:tabs>
          <w:tab w:val="center" w:pos="4795"/>
        </w:tabs>
        <w:jc w:val="center"/>
        <w:rPr>
          <w:rFonts w:ascii="Times New Roman" w:hAnsi="Times New Roman"/>
          <w:sz w:val="22"/>
          <w:szCs w:val="22"/>
        </w:rPr>
      </w:pPr>
      <w:r w:rsidRPr="000500FE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Moema/MG, </w:t>
      </w:r>
      <w:r w:rsidR="00B672D4" w:rsidRPr="000500FE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06</w:t>
      </w:r>
      <w:r w:rsidRPr="000500FE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de </w:t>
      </w:r>
      <w:r w:rsidR="00B672D4" w:rsidRPr="000500FE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junho</w:t>
      </w:r>
      <w:r w:rsidRPr="000500FE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de 2019</w:t>
      </w:r>
      <w:r w:rsidR="00FA42D4" w:rsidRPr="000500FE">
        <w:rPr>
          <w:rFonts w:ascii="Times New Roman" w:hAnsi="Times New Roman"/>
          <w:sz w:val="22"/>
          <w:szCs w:val="22"/>
        </w:rPr>
        <w:t>.</w:t>
      </w:r>
    </w:p>
    <w:p w:rsidR="00FA7B21" w:rsidRPr="000500FE" w:rsidRDefault="00FA7B21" w:rsidP="00B672D4">
      <w:pPr>
        <w:pStyle w:val="Corpodetexto"/>
        <w:jc w:val="center"/>
        <w:rPr>
          <w:rFonts w:ascii="Times New Roman" w:hAnsi="Times New Roman"/>
          <w:sz w:val="22"/>
          <w:szCs w:val="22"/>
        </w:rPr>
      </w:pPr>
    </w:p>
    <w:p w:rsidR="00FA7B21" w:rsidRPr="000500FE" w:rsidRDefault="00FA7B21" w:rsidP="00B672D4">
      <w:pPr>
        <w:pStyle w:val="Corpodetexto"/>
        <w:jc w:val="center"/>
        <w:rPr>
          <w:rFonts w:ascii="Times New Roman" w:hAnsi="Times New Roman"/>
          <w:sz w:val="22"/>
          <w:szCs w:val="22"/>
        </w:rPr>
      </w:pPr>
    </w:p>
    <w:p w:rsidR="00FA7B21" w:rsidRPr="000500FE" w:rsidRDefault="00FA7B21" w:rsidP="00B672D4">
      <w:pPr>
        <w:pStyle w:val="Corpodetexto"/>
        <w:jc w:val="center"/>
        <w:rPr>
          <w:rFonts w:ascii="Times New Roman" w:hAnsi="Times New Roman"/>
          <w:sz w:val="22"/>
          <w:szCs w:val="22"/>
        </w:rPr>
      </w:pPr>
    </w:p>
    <w:p w:rsidR="00FA7B21" w:rsidRPr="000500FE" w:rsidRDefault="00FA7B21" w:rsidP="00B672D4">
      <w:pPr>
        <w:pStyle w:val="Corpodetexto"/>
        <w:jc w:val="center"/>
        <w:rPr>
          <w:rFonts w:ascii="Times New Roman" w:hAnsi="Times New Roman"/>
          <w:i/>
          <w:sz w:val="22"/>
          <w:szCs w:val="22"/>
        </w:rPr>
      </w:pPr>
      <w:proofErr w:type="spellStart"/>
      <w:r w:rsidRPr="000500FE">
        <w:rPr>
          <w:rFonts w:ascii="Times New Roman" w:hAnsi="Times New Roman"/>
          <w:i/>
          <w:sz w:val="22"/>
          <w:szCs w:val="22"/>
        </w:rPr>
        <w:t>Julvan</w:t>
      </w:r>
      <w:proofErr w:type="spellEnd"/>
      <w:r w:rsidRPr="000500FE">
        <w:rPr>
          <w:rFonts w:ascii="Times New Roman" w:hAnsi="Times New Roman"/>
          <w:i/>
          <w:sz w:val="22"/>
          <w:szCs w:val="22"/>
        </w:rPr>
        <w:t xml:space="preserve"> Rezende Araújo Lacerda</w:t>
      </w:r>
    </w:p>
    <w:p w:rsidR="009D14EE" w:rsidRPr="000500FE" w:rsidRDefault="00FA7B21" w:rsidP="00B672D4">
      <w:pPr>
        <w:pStyle w:val="Corpodetexto"/>
        <w:jc w:val="center"/>
        <w:rPr>
          <w:rFonts w:ascii="Times New Roman" w:hAnsi="Times New Roman"/>
          <w:i/>
          <w:sz w:val="22"/>
          <w:szCs w:val="22"/>
        </w:rPr>
      </w:pPr>
      <w:r w:rsidRPr="000500FE">
        <w:rPr>
          <w:rFonts w:ascii="Times New Roman" w:hAnsi="Times New Roman"/>
          <w:i/>
          <w:sz w:val="22"/>
          <w:szCs w:val="22"/>
        </w:rPr>
        <w:t>Prefeito Municipal</w:t>
      </w:r>
    </w:p>
    <w:sectPr w:rsidR="009D14EE" w:rsidRPr="000500FE" w:rsidSect="00A22004">
      <w:footerReference w:type="default" r:id="rId7"/>
      <w:pgSz w:w="11907" w:h="16840" w:code="9"/>
      <w:pgMar w:top="2835" w:right="1134" w:bottom="1134" w:left="1701" w:header="584" w:footer="1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9CB" w:rsidRDefault="00ED59CB" w:rsidP="00ED3A7B">
      <w:r>
        <w:separator/>
      </w:r>
    </w:p>
  </w:endnote>
  <w:endnote w:type="continuationSeparator" w:id="0">
    <w:p w:rsidR="00ED59CB" w:rsidRDefault="00ED59CB" w:rsidP="00ED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3B4" w:rsidRPr="00DD79D7" w:rsidRDefault="008E23B4" w:rsidP="008E23B4">
    <w:pPr>
      <w:pStyle w:val="Rodap"/>
      <w:jc w:val="right"/>
      <w:rPr>
        <w:sz w:val="22"/>
        <w:szCs w:val="22"/>
      </w:rPr>
    </w:pPr>
    <w:r w:rsidRPr="00DD79D7">
      <w:rPr>
        <w:sz w:val="22"/>
        <w:szCs w:val="22"/>
      </w:rPr>
      <w:t xml:space="preserve">Página </w:t>
    </w:r>
    <w:r w:rsidRPr="00DD79D7">
      <w:rPr>
        <w:sz w:val="22"/>
        <w:szCs w:val="22"/>
      </w:rPr>
      <w:fldChar w:fldCharType="begin"/>
    </w:r>
    <w:r w:rsidRPr="00DD79D7">
      <w:rPr>
        <w:sz w:val="22"/>
        <w:szCs w:val="22"/>
      </w:rPr>
      <w:instrText>PAGE  \* Arabic  \* MERGEFORMAT</w:instrText>
    </w:r>
    <w:r w:rsidRPr="00DD79D7">
      <w:rPr>
        <w:sz w:val="22"/>
        <w:szCs w:val="22"/>
      </w:rPr>
      <w:fldChar w:fldCharType="separate"/>
    </w:r>
    <w:r w:rsidRPr="00DD79D7">
      <w:rPr>
        <w:sz w:val="22"/>
        <w:szCs w:val="22"/>
      </w:rPr>
      <w:t>2</w:t>
    </w:r>
    <w:r w:rsidRPr="00DD79D7">
      <w:rPr>
        <w:sz w:val="22"/>
        <w:szCs w:val="22"/>
      </w:rPr>
      <w:fldChar w:fldCharType="end"/>
    </w:r>
    <w:r w:rsidRPr="00DD79D7">
      <w:rPr>
        <w:sz w:val="22"/>
        <w:szCs w:val="22"/>
      </w:rPr>
      <w:t xml:space="preserve"> de </w:t>
    </w:r>
    <w:r w:rsidRPr="00DD79D7">
      <w:rPr>
        <w:sz w:val="22"/>
        <w:szCs w:val="22"/>
      </w:rPr>
      <w:fldChar w:fldCharType="begin"/>
    </w:r>
    <w:r w:rsidRPr="00DD79D7">
      <w:rPr>
        <w:sz w:val="22"/>
        <w:szCs w:val="22"/>
      </w:rPr>
      <w:instrText>NUMPAGES \ * Arábico \ * MERGEFORMAT</w:instrText>
    </w:r>
    <w:r w:rsidRPr="00DD79D7">
      <w:rPr>
        <w:sz w:val="22"/>
        <w:szCs w:val="22"/>
      </w:rPr>
      <w:fldChar w:fldCharType="separate"/>
    </w:r>
    <w:r w:rsidRPr="00DD79D7">
      <w:rPr>
        <w:sz w:val="22"/>
        <w:szCs w:val="22"/>
      </w:rPr>
      <w:t>2</w:t>
    </w:r>
    <w:r w:rsidRPr="00DD79D7">
      <w:rPr>
        <w:sz w:val="22"/>
        <w:szCs w:val="22"/>
      </w:rPr>
      <w:fldChar w:fldCharType="end"/>
    </w:r>
  </w:p>
  <w:p w:rsidR="007A4854" w:rsidRDefault="00ED59CB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9CB" w:rsidRDefault="00ED59CB" w:rsidP="00ED3A7B">
      <w:r>
        <w:separator/>
      </w:r>
    </w:p>
  </w:footnote>
  <w:footnote w:type="continuationSeparator" w:id="0">
    <w:p w:rsidR="00ED59CB" w:rsidRDefault="00ED59CB" w:rsidP="00ED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18"/>
    <w:rsid w:val="000500FE"/>
    <w:rsid w:val="00087FB5"/>
    <w:rsid w:val="000929C7"/>
    <w:rsid w:val="000F292F"/>
    <w:rsid w:val="000F4CC1"/>
    <w:rsid w:val="001A088E"/>
    <w:rsid w:val="001A70D4"/>
    <w:rsid w:val="001A7F09"/>
    <w:rsid w:val="002137C4"/>
    <w:rsid w:val="0021605D"/>
    <w:rsid w:val="00274D77"/>
    <w:rsid w:val="002E1E5F"/>
    <w:rsid w:val="00353B0B"/>
    <w:rsid w:val="003853F7"/>
    <w:rsid w:val="00395DA1"/>
    <w:rsid w:val="003F1147"/>
    <w:rsid w:val="003F5C90"/>
    <w:rsid w:val="004910D2"/>
    <w:rsid w:val="00574CBD"/>
    <w:rsid w:val="005C39B4"/>
    <w:rsid w:val="005C642D"/>
    <w:rsid w:val="005D6CF2"/>
    <w:rsid w:val="005E64B0"/>
    <w:rsid w:val="00601978"/>
    <w:rsid w:val="006224FD"/>
    <w:rsid w:val="0068099E"/>
    <w:rsid w:val="006F21F7"/>
    <w:rsid w:val="00710642"/>
    <w:rsid w:val="007430B8"/>
    <w:rsid w:val="00750F9A"/>
    <w:rsid w:val="007621DC"/>
    <w:rsid w:val="00782BDD"/>
    <w:rsid w:val="008437D1"/>
    <w:rsid w:val="00852B18"/>
    <w:rsid w:val="00863001"/>
    <w:rsid w:val="008D205E"/>
    <w:rsid w:val="008E23B4"/>
    <w:rsid w:val="00910BDC"/>
    <w:rsid w:val="00922651"/>
    <w:rsid w:val="00970829"/>
    <w:rsid w:val="00976F25"/>
    <w:rsid w:val="0099169C"/>
    <w:rsid w:val="009C77A2"/>
    <w:rsid w:val="009D14EE"/>
    <w:rsid w:val="00A22004"/>
    <w:rsid w:val="00A87F98"/>
    <w:rsid w:val="00B32C59"/>
    <w:rsid w:val="00B6314B"/>
    <w:rsid w:val="00B672D4"/>
    <w:rsid w:val="00B7545B"/>
    <w:rsid w:val="00BB4597"/>
    <w:rsid w:val="00BC2ADF"/>
    <w:rsid w:val="00BD3D2C"/>
    <w:rsid w:val="00C16D5F"/>
    <w:rsid w:val="00C401BC"/>
    <w:rsid w:val="00C51FF9"/>
    <w:rsid w:val="00D26E29"/>
    <w:rsid w:val="00DB7F30"/>
    <w:rsid w:val="00DD1CDA"/>
    <w:rsid w:val="00DD79D7"/>
    <w:rsid w:val="00DF16BF"/>
    <w:rsid w:val="00E33C3B"/>
    <w:rsid w:val="00E35827"/>
    <w:rsid w:val="00EC266F"/>
    <w:rsid w:val="00ED3A7B"/>
    <w:rsid w:val="00ED59CB"/>
    <w:rsid w:val="00EE406D"/>
    <w:rsid w:val="00F605FD"/>
    <w:rsid w:val="00F80FF7"/>
    <w:rsid w:val="00FA42D4"/>
    <w:rsid w:val="00FA7B21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9C09B"/>
  <w15:docId w15:val="{2C64CA72-815B-40F0-8F70-45E50343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D3A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7B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7B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D6CF2"/>
    <w:pPr>
      <w:spacing w:before="0" w:beforeAutospacing="0" w:after="0" w:afterAutospacing="0"/>
      <w:jc w:val="both"/>
    </w:pPr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ED3A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ED3A7B"/>
    <w:pPr>
      <w:widowControl w:val="0"/>
      <w:spacing w:before="0" w:beforeAutospacing="0" w:after="0" w:afterAutospacing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3A7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ED3A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3A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3A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3A7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C15B-9C3A-41F0-BAB0-0FC9FFFE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5094</Words>
  <Characters>27509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Prefeitura Municipal de Moema .</cp:lastModifiedBy>
  <cp:revision>13</cp:revision>
  <cp:lastPrinted>2019-06-07T19:04:00Z</cp:lastPrinted>
  <dcterms:created xsi:type="dcterms:W3CDTF">2019-06-07T18:06:00Z</dcterms:created>
  <dcterms:modified xsi:type="dcterms:W3CDTF">2019-06-07T19:04:00Z</dcterms:modified>
</cp:coreProperties>
</file>