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54" w:rsidRPr="00E54A99" w:rsidRDefault="00D87C54" w:rsidP="00D87C54">
      <w:pPr>
        <w:pStyle w:val="Ttulo1"/>
        <w:jc w:val="center"/>
        <w:rPr>
          <w:b/>
          <w:bCs/>
          <w:sz w:val="29"/>
          <w:szCs w:val="29"/>
        </w:rPr>
      </w:pPr>
      <w:r w:rsidRPr="00E54A99">
        <w:rPr>
          <w:b/>
          <w:bCs/>
          <w:sz w:val="29"/>
          <w:szCs w:val="29"/>
        </w:rPr>
        <w:t>LEI N.º 117</w:t>
      </w:r>
      <w:r w:rsidR="00DD0FBF" w:rsidRPr="00E54A99">
        <w:rPr>
          <w:b/>
          <w:bCs/>
          <w:sz w:val="29"/>
          <w:szCs w:val="29"/>
        </w:rPr>
        <w:t>1</w:t>
      </w:r>
      <w:r w:rsidRPr="00E54A99">
        <w:rPr>
          <w:b/>
          <w:bCs/>
          <w:sz w:val="29"/>
          <w:szCs w:val="29"/>
        </w:rPr>
        <w:t>/2009</w:t>
      </w:r>
    </w:p>
    <w:p w:rsidR="00D87C54" w:rsidRPr="00E54A99" w:rsidRDefault="00D87C54" w:rsidP="00D87C54">
      <w:pPr>
        <w:jc w:val="both"/>
        <w:rPr>
          <w:sz w:val="23"/>
          <w:szCs w:val="23"/>
        </w:rPr>
      </w:pPr>
    </w:p>
    <w:p w:rsidR="00D87C54" w:rsidRPr="00E54A99" w:rsidRDefault="00D87C54" w:rsidP="00D87C54">
      <w:pPr>
        <w:pStyle w:val="Ttulo2"/>
        <w:ind w:left="2562" w:firstLine="6"/>
        <w:jc w:val="both"/>
        <w:rPr>
          <w:b/>
          <w:sz w:val="23"/>
          <w:szCs w:val="23"/>
        </w:rPr>
      </w:pPr>
    </w:p>
    <w:p w:rsidR="00D87C54" w:rsidRPr="00E54A99" w:rsidRDefault="00DD0FBF" w:rsidP="00E54A99">
      <w:pPr>
        <w:pStyle w:val="Ttulo2"/>
        <w:ind w:left="3402" w:firstLine="0"/>
        <w:jc w:val="both"/>
        <w:rPr>
          <w:b/>
          <w:sz w:val="23"/>
          <w:szCs w:val="23"/>
        </w:rPr>
      </w:pPr>
      <w:r w:rsidRPr="00E54A99">
        <w:rPr>
          <w:b/>
          <w:sz w:val="23"/>
          <w:szCs w:val="23"/>
        </w:rPr>
        <w:t>“DISPÕE SOBRE AS DIRETRIZES PARA A ELABORAÇÃO DA LEI ORÇAMENTÁRIA DE 2010 E DÁ OUTRAS PROVIDÊNCIAS”</w:t>
      </w:r>
    </w:p>
    <w:p w:rsidR="00D87C54" w:rsidRPr="00E54A99" w:rsidRDefault="00D87C54" w:rsidP="00D87C54">
      <w:pPr>
        <w:jc w:val="both"/>
        <w:rPr>
          <w:sz w:val="23"/>
          <w:szCs w:val="23"/>
        </w:rPr>
      </w:pPr>
    </w:p>
    <w:p w:rsidR="00D87C54" w:rsidRPr="00E54A99" w:rsidRDefault="00D87C54" w:rsidP="00D87C54">
      <w:pPr>
        <w:jc w:val="both"/>
        <w:rPr>
          <w:sz w:val="23"/>
          <w:szCs w:val="23"/>
        </w:rPr>
      </w:pPr>
    </w:p>
    <w:p w:rsidR="00D87C54" w:rsidRPr="00E54A99" w:rsidRDefault="00D87C54" w:rsidP="00D87C54">
      <w:pPr>
        <w:pStyle w:val="Recuodecorpodetexto"/>
        <w:rPr>
          <w:sz w:val="23"/>
          <w:szCs w:val="23"/>
        </w:rPr>
      </w:pPr>
      <w:r w:rsidRPr="00E54A99">
        <w:rPr>
          <w:sz w:val="23"/>
          <w:szCs w:val="23"/>
        </w:rPr>
        <w:t>O povo do Município de Moema/MG, por seus representantes na Câmara Municipal, aprovou e eu, Prefeito do Município, sanciono a seguinte Lei:</w:t>
      </w:r>
    </w:p>
    <w:p w:rsidR="00D87C54" w:rsidRPr="00E54A99" w:rsidRDefault="00D87C54" w:rsidP="00D87C54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87C54" w:rsidRPr="00E54A99" w:rsidRDefault="00D87C54" w:rsidP="00A93683">
      <w:pPr>
        <w:autoSpaceDE w:val="0"/>
        <w:autoSpaceDN w:val="0"/>
        <w:adjustRightInd w:val="0"/>
        <w:ind w:firstLine="1134"/>
        <w:jc w:val="center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Disposições Preliminares</w:t>
      </w:r>
    </w:p>
    <w:p w:rsidR="00DD0FBF" w:rsidRPr="00E54A99" w:rsidRDefault="00DD0FBF" w:rsidP="00A93683">
      <w:pPr>
        <w:autoSpaceDE w:val="0"/>
        <w:autoSpaceDN w:val="0"/>
        <w:adjustRightInd w:val="0"/>
        <w:ind w:firstLine="1134"/>
        <w:rPr>
          <w:color w:val="000000"/>
          <w:sz w:val="23"/>
          <w:szCs w:val="23"/>
        </w:rPr>
      </w:pPr>
    </w:p>
    <w:p w:rsidR="00D87C54" w:rsidRPr="00E54A99" w:rsidRDefault="00D87C54" w:rsidP="00A93683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 xml:space="preserve">Art.1º. </w:t>
      </w:r>
      <w:proofErr w:type="gramStart"/>
      <w:r w:rsidRPr="00E54A99">
        <w:rPr>
          <w:color w:val="000000"/>
          <w:sz w:val="23"/>
          <w:szCs w:val="23"/>
        </w:rPr>
        <w:t>São</w:t>
      </w:r>
      <w:proofErr w:type="gramEnd"/>
      <w:r w:rsidRPr="00E54A99">
        <w:rPr>
          <w:color w:val="000000"/>
          <w:sz w:val="23"/>
          <w:szCs w:val="23"/>
        </w:rPr>
        <w:t xml:space="preserve"> estabelecidas, em cumprimento ao disposto no art. 165, § 2º, da Constituição da República, e na Lei Complementar nº</w:t>
      </w:r>
      <w:r w:rsidR="00DD0FB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101, de 04 de maio de 2000, as diretrizes para a elaboração da lei orçamentária do exercício financeiro de 2010, compreendendo:</w:t>
      </w:r>
    </w:p>
    <w:p w:rsidR="00DD0FBF" w:rsidRPr="00E54A99" w:rsidRDefault="00DD0FB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I – as metas e prioridades da Administração Pública Municipal;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II – orientações básicas para elaboração da lei orçamentária anual;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III – disposições sobre a política de pessoal e serviços extraordinários;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IV – disposições sobre a receita e alterações na legislação tributária do Município;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V – equilíbrio entre receitas e despesas;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VI – critérios e formas de limitação de empenho;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VII – normas relativas ao controle de custos e a avaliação dos resultados dos programas financiados com recursos dos orçamentos;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VIII – condições e exigências para transferências de recursos a entidades públicas e privadas;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IX – autorização para o Município auxiliar o custeio de despesas atribuídas a outros entes da federação;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X – parâmetros para a elaboração da programação financeira e do cronograma mensal de desembolso;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XI – definição de critérios para início de novos projetos;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XII – definição das despesas consideradas irrelevantes;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XIII – incentivo à participação popular;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XIV – as disposições gerais.</w:t>
      </w:r>
    </w:p>
    <w:p w:rsidR="00DD0FBF" w:rsidRPr="00E54A99" w:rsidRDefault="00DD0FB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A93683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Seção I</w:t>
      </w:r>
    </w:p>
    <w:p w:rsidR="00D87C54" w:rsidRPr="00E54A99" w:rsidRDefault="00D87C54" w:rsidP="00A93683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Das Metas e Prioridades da Administração Pública Municipal</w:t>
      </w:r>
    </w:p>
    <w:p w:rsidR="00DD0FBF" w:rsidRPr="00E54A99" w:rsidRDefault="00DD0FB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A93683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Art. 2º. Em consonância com o disposto no art. 165, § 2º, da Constituição da República, atendidas as despesas que constituem</w:t>
      </w:r>
      <w:r w:rsidR="00DD0FB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obrigação constitucional ou legal do Município, as ações relativas à manutenção e funcionamento dos órgãos da administração direta e</w:t>
      </w:r>
      <w:r w:rsidR="00DD0FB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das entidades da administração indireta, as metas e as prioridades para o exercício financeiro de 2010 correspondem às ações</w:t>
      </w:r>
      <w:r w:rsidR="00DD0FB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especificadas no Anexo de Metas e Prioridades que integra esta Lei, de acordo com os programas e ações estabelecidos no Plano</w:t>
      </w:r>
      <w:r w:rsidR="00DD0FB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Plurianual relativo ao período de 2010–2013, as quais terão precedência na alocação de recursos na lei orçamentária de 2010 e na</w:t>
      </w:r>
      <w:r w:rsidR="00DD0FB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sua execução, não se constituindo, todavia, em limite à programação das despesas.</w:t>
      </w:r>
    </w:p>
    <w:p w:rsidR="00C6395D" w:rsidRPr="00E54A99" w:rsidRDefault="00C6395D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lastRenderedPageBreak/>
        <w:t>§ 1º. O projeto de lei orçamentária para 2010 deverá ser elaborado em consonância com as metas e prioridades estabelecidas na</w:t>
      </w:r>
      <w:r w:rsidR="00DD0FB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forma do caput deste artigo.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§ 2º. O projeto de lei orçamentária para 2010 conterá demonstrativo da observância das metas e prioridades estabelecidas na forma</w:t>
      </w:r>
      <w:r w:rsidR="00DD0FB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do caput deste artigo.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§ 3º. Excepcionalmente, por ser o primeiro ano de um mandato, considerando que o Plano Plurianual será elaborado até 31 de agosto</w:t>
      </w:r>
      <w:r w:rsidR="00DD0FB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de 2009, o anexo de metas e prioridades será apresentado no mesmo período, como uma lei aditiva a esta lei.</w:t>
      </w:r>
    </w:p>
    <w:p w:rsidR="00DD0FBF" w:rsidRPr="00E54A99" w:rsidRDefault="00DD0FB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A93683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Seção II</w:t>
      </w:r>
    </w:p>
    <w:p w:rsidR="00D87C54" w:rsidRPr="00E54A99" w:rsidRDefault="00D87C54" w:rsidP="00A93683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Das Orientações Básicas para Elaboração da Lei Orçamentária Anual</w:t>
      </w:r>
    </w:p>
    <w:p w:rsidR="00D87C54" w:rsidRPr="00E54A99" w:rsidRDefault="00D87C54" w:rsidP="00A93683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Subseção I</w:t>
      </w:r>
    </w:p>
    <w:p w:rsidR="00D87C54" w:rsidRPr="00E54A99" w:rsidRDefault="00D87C54" w:rsidP="00A93683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Das Diretrizes Gerais</w:t>
      </w:r>
    </w:p>
    <w:p w:rsidR="00DD0FBF" w:rsidRPr="00E54A99" w:rsidRDefault="00DD0FB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A93683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 xml:space="preserve">Art. 3º. As categorias de programação de que trata esta Lei serão identificadas por funções, </w:t>
      </w:r>
      <w:proofErr w:type="spellStart"/>
      <w:r w:rsidRPr="00E54A99">
        <w:rPr>
          <w:color w:val="000000"/>
          <w:sz w:val="23"/>
          <w:szCs w:val="23"/>
        </w:rPr>
        <w:t>subfunções</w:t>
      </w:r>
      <w:proofErr w:type="spellEnd"/>
      <w:r w:rsidRPr="00E54A99">
        <w:rPr>
          <w:color w:val="000000"/>
          <w:sz w:val="23"/>
          <w:szCs w:val="23"/>
        </w:rPr>
        <w:t>, programas, atividades,</w:t>
      </w:r>
      <w:r w:rsidR="00DD0FB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projetos, operações especiais, de acordo com as codificações da Portaria SOF nº 42/1999, da Portaria Interministerial STN/SOF nº</w:t>
      </w:r>
      <w:r w:rsidR="00DD0FB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163/2001 e da Lei do Plano Plurianual relativo ao período 2010-2013.</w:t>
      </w:r>
    </w:p>
    <w:p w:rsidR="00DD0FBF" w:rsidRPr="00E54A99" w:rsidRDefault="00DD0FBF" w:rsidP="00A93683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D87C54" w:rsidRPr="00E54A99" w:rsidRDefault="00D87C54" w:rsidP="00A93683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Art. 4º. O orçamento fiscal</w:t>
      </w:r>
      <w:proofErr w:type="gramStart"/>
      <w:r w:rsidRPr="00E54A99">
        <w:rPr>
          <w:color w:val="000000"/>
          <w:sz w:val="23"/>
          <w:szCs w:val="23"/>
        </w:rPr>
        <w:t>, discriminará</w:t>
      </w:r>
      <w:proofErr w:type="gramEnd"/>
      <w:r w:rsidRPr="00E54A99">
        <w:rPr>
          <w:color w:val="000000"/>
          <w:sz w:val="23"/>
          <w:szCs w:val="23"/>
        </w:rPr>
        <w:t xml:space="preserve"> a despesa, no mínimo, por elemento de despesa, conforme art. 15 da Lei nº 4.320/64.</w:t>
      </w:r>
    </w:p>
    <w:p w:rsidR="00DD0FBF" w:rsidRPr="00E54A99" w:rsidRDefault="00DD0FBF" w:rsidP="00A93683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D87C54" w:rsidRPr="00E54A99" w:rsidRDefault="00D87C54" w:rsidP="00A93683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Art. 5º. O orçamento fiscal</w:t>
      </w:r>
      <w:proofErr w:type="gramStart"/>
      <w:r w:rsidRPr="00E54A99">
        <w:rPr>
          <w:color w:val="000000"/>
          <w:sz w:val="23"/>
          <w:szCs w:val="23"/>
        </w:rPr>
        <w:t>, compreenderá</w:t>
      </w:r>
      <w:proofErr w:type="gramEnd"/>
      <w:r w:rsidRPr="00E54A99">
        <w:rPr>
          <w:color w:val="000000"/>
          <w:sz w:val="23"/>
          <w:szCs w:val="23"/>
        </w:rPr>
        <w:t xml:space="preserve"> a programação dos Poderes do Município, autarquias.</w:t>
      </w:r>
    </w:p>
    <w:p w:rsidR="00DD0FBF" w:rsidRPr="00E54A99" w:rsidRDefault="00DD0FBF" w:rsidP="00A93683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D87C54" w:rsidRPr="00E54A99" w:rsidRDefault="00D87C54" w:rsidP="00A93683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Art. 6º. O projeto de lei orçamentária que o Poder Executivo encaminhará à Câmara Municipal será constituído de:</w:t>
      </w:r>
    </w:p>
    <w:p w:rsidR="00DD0FBF" w:rsidRPr="00E54A99" w:rsidRDefault="00DD0FB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I – texto da lei;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II – documentos referenciados nos artigos 2º e 22 da Lei nº 4.320/1964;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III – quadros orçamentários consolidados;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IV – anexo do orçamento fiscal, discriminando a receita e a despesa na forma definida nesta Lei;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V – demonstrativos e documentos previstos no art. 5º da Lei Complementar nº 101/2000;</w:t>
      </w:r>
    </w:p>
    <w:p w:rsidR="00DD0FBF" w:rsidRPr="00E54A99" w:rsidRDefault="00DD0FB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A93683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Art. 7º. A estimativa da receita e a fixação da despesa, constantes do projeto de lei orçamentária de 2010, serão elaboradas a valores</w:t>
      </w:r>
      <w:r w:rsidR="00DD0FB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correntes do exercício de 2009, projetados ao exercício a que se refere.</w:t>
      </w:r>
    </w:p>
    <w:p w:rsidR="00DD0FBF" w:rsidRPr="00E54A99" w:rsidRDefault="00DD0FB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Parágrafo único. O projeto de lei orçamentária atualizará a estimativa da margem de expansão das despesas, considerando os</w:t>
      </w:r>
      <w:r w:rsidR="00DD0FB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acréscimos de receita resultantes do crescimento da economia e da evolução de outras variáveis que implicam aumento da base de</w:t>
      </w:r>
      <w:r w:rsidR="00DD0FB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cálculo, bem como de alterações na legislação tributária, devendo ser garantidas, no mínimo, as metas de resultado primário e nominal</w:t>
      </w:r>
      <w:r w:rsidR="00DD0FB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estabelecidas nesta Lei.</w:t>
      </w:r>
    </w:p>
    <w:p w:rsidR="00E54A99" w:rsidRPr="00E54A99" w:rsidRDefault="00E54A99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A93683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Art. 8º. O Poder Executivo colocará à disposição do Poder Legislativo, no mínimo trinta dias antes do prazo final para encaminhamento</w:t>
      </w:r>
      <w:r w:rsidR="00DD0FB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de sua proposta orçamentária, os estudos e as estimativas das receitas para o exercício subseqüente, inclusive da corrente líquida, e</w:t>
      </w:r>
      <w:r w:rsidR="00DD0FB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as respectivas memórias de cálculo.</w:t>
      </w:r>
    </w:p>
    <w:p w:rsidR="00DD0FBF" w:rsidRPr="00E54A99" w:rsidRDefault="00DD0FB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lastRenderedPageBreak/>
        <w:t>Parágrafo único. A entidade da Administração Indireta e o Poder Legislativo</w:t>
      </w:r>
      <w:proofErr w:type="gramStart"/>
      <w:r w:rsidRPr="00E54A99">
        <w:rPr>
          <w:color w:val="000000"/>
          <w:sz w:val="23"/>
          <w:szCs w:val="23"/>
        </w:rPr>
        <w:t>, encaminharão</w:t>
      </w:r>
      <w:proofErr w:type="gramEnd"/>
      <w:r w:rsidRPr="00E54A99">
        <w:rPr>
          <w:color w:val="000000"/>
          <w:sz w:val="23"/>
          <w:szCs w:val="23"/>
        </w:rPr>
        <w:t xml:space="preserve"> ao Setor de Planejamento e Contabilidade</w:t>
      </w:r>
      <w:r w:rsidR="00DD0FB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do Poder Executivo, até 15 dias antes do prazo definido no caput, os estudos e as estimativas das suas receitas orçamentárias para o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exercício subseqüente e as respectivas memórias de cálculo, para fins de consolidação da receita municipal.</w:t>
      </w:r>
    </w:p>
    <w:p w:rsidR="00C6395D" w:rsidRPr="00E54A99" w:rsidRDefault="00C6395D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A93683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 xml:space="preserve">Art. 9º. </w:t>
      </w:r>
      <w:proofErr w:type="gramStart"/>
      <w:r w:rsidRPr="00E54A99">
        <w:rPr>
          <w:color w:val="000000"/>
          <w:sz w:val="23"/>
          <w:szCs w:val="23"/>
        </w:rPr>
        <w:t>O Poder Legislativo e a entidade da Administração Indireta encaminhará</w:t>
      </w:r>
      <w:proofErr w:type="gramEnd"/>
      <w:r w:rsidRPr="00E54A99">
        <w:rPr>
          <w:color w:val="000000"/>
          <w:sz w:val="23"/>
          <w:szCs w:val="23"/>
        </w:rPr>
        <w:t xml:space="preserve"> ao Setor de Planejamento e Contabilidade do Poder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Executivo, até 30 de agosto de 2009, suas respectivas propostas orçamentárias, para fins de consolidação do projeto de lei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orçamentária.</w:t>
      </w:r>
    </w:p>
    <w:p w:rsidR="00C6395D" w:rsidRPr="00E54A99" w:rsidRDefault="00C6395D" w:rsidP="00A93683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D87C54" w:rsidRPr="00E54A99" w:rsidRDefault="00D87C54" w:rsidP="00A93683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Art. 10. Na programação da despesa não poderão ser fixadas despesas sem que estejam definidas as respectivas fontes de recursos,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de forma a evitar o comprometimento do equilíbrio orçamentário entre a receita e a despesa.</w:t>
      </w:r>
    </w:p>
    <w:p w:rsidR="00C6395D" w:rsidRPr="00E54A99" w:rsidRDefault="00C6395D" w:rsidP="00A93683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D87C54" w:rsidRPr="00E54A99" w:rsidRDefault="00D87C54" w:rsidP="00A93683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Art. 11. A lei orçamentária discriminará, nos órgãos da administração direta e nas entidades da administração indireta responsáveis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pelo débito, as dotações destinadas ao pagamento de precatórios judiciais em cumprimento ao disposto no art. 100 da Constituição da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República.</w:t>
      </w:r>
    </w:p>
    <w:p w:rsidR="00C6395D" w:rsidRPr="00E54A99" w:rsidRDefault="00C6395D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§ 1º. Para fins de acompanhamento, controle e centralização, os órgãos da administração direta e as entidades da administração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indireta submeterão os processos referentes ao pagamento de precatórios à apreciação da Procuradoria do Município.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§ 2º. Os recursos alocados para os fins previstos no caput deste artigo não poderão ser cancelados para abertura de créditos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adicionais com outra finalidade, exceto no caso de saldo orçamentário remanescente ocioso.</w:t>
      </w:r>
    </w:p>
    <w:p w:rsidR="00C6395D" w:rsidRPr="00E54A99" w:rsidRDefault="00C6395D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A93683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Subseção II</w:t>
      </w:r>
    </w:p>
    <w:p w:rsidR="00D87C54" w:rsidRPr="00E54A99" w:rsidRDefault="00D87C54" w:rsidP="00A93683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Das Disposições Relativas à Dívida e ao Endividamento Público Municipal</w:t>
      </w:r>
    </w:p>
    <w:p w:rsidR="00C6395D" w:rsidRPr="00E54A99" w:rsidRDefault="00C6395D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A93683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Art. 12. A administração da dívida pública municipal interna tem por objetivo principal minimizar custos, reduzir o montante da dívida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pública e viabilizar fontes alternativas de recursos para o Tesouro Municipal.</w:t>
      </w:r>
    </w:p>
    <w:p w:rsidR="00C6395D" w:rsidRPr="00E54A99" w:rsidRDefault="00C6395D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§ 1º. Deverão ser garantidos, na lei orçamentária, os recursos necessários para pagamento da dívida.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§ 2º. O Município, por meio de seus órgãos e entidades, subordinar-se-á às normas estabelecidas na Resolução nº 40/2001 do Senado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Federal, que dispõe sobre os limites globais para o montante da dívida pública consolidada e da dívida pública mobiliária, em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atendimento ao disposto no art. 52, incisos VI e IX, da Constituição da República.</w:t>
      </w:r>
    </w:p>
    <w:p w:rsidR="00C6395D" w:rsidRPr="00E54A99" w:rsidRDefault="00C6395D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A93683">
      <w:pPr>
        <w:autoSpaceDE w:val="0"/>
        <w:autoSpaceDN w:val="0"/>
        <w:adjustRightInd w:val="0"/>
        <w:ind w:firstLine="1276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Art. 13. Na lei orçamentária para o exercício de 2010, as despesas com amortização, juros e demais encargos da dívida serão fixadas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com base nas operações contratadas.</w:t>
      </w:r>
    </w:p>
    <w:p w:rsidR="00A93683" w:rsidRPr="00E54A99" w:rsidRDefault="00A93683" w:rsidP="00A93683">
      <w:pPr>
        <w:autoSpaceDE w:val="0"/>
        <w:autoSpaceDN w:val="0"/>
        <w:adjustRightInd w:val="0"/>
        <w:ind w:firstLine="1276"/>
        <w:jc w:val="both"/>
        <w:rPr>
          <w:color w:val="000000"/>
          <w:sz w:val="23"/>
          <w:szCs w:val="23"/>
        </w:rPr>
      </w:pPr>
    </w:p>
    <w:p w:rsidR="00D87C54" w:rsidRPr="00E54A99" w:rsidRDefault="00D87C54" w:rsidP="00A93683">
      <w:pPr>
        <w:autoSpaceDE w:val="0"/>
        <w:autoSpaceDN w:val="0"/>
        <w:adjustRightInd w:val="0"/>
        <w:ind w:firstLine="1276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Art. 14. A lei orçamentária poderá conter autorização para contratação de operações de crédito pelo Poder Executivo, a qual ficará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condicionada ao atendimento das normas estabelecidas na Lei Complementar nº 101/2000 e na Resolução nº 43/2001 do Senado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Federal.</w:t>
      </w:r>
    </w:p>
    <w:p w:rsidR="00C6395D" w:rsidRPr="00E54A99" w:rsidRDefault="00C6395D" w:rsidP="00A93683">
      <w:pPr>
        <w:autoSpaceDE w:val="0"/>
        <w:autoSpaceDN w:val="0"/>
        <w:adjustRightInd w:val="0"/>
        <w:ind w:firstLine="1276"/>
        <w:jc w:val="both"/>
        <w:rPr>
          <w:color w:val="000000"/>
          <w:sz w:val="23"/>
          <w:szCs w:val="23"/>
        </w:rPr>
      </w:pPr>
    </w:p>
    <w:p w:rsidR="00D87C54" w:rsidRPr="00E54A99" w:rsidRDefault="00D87C54" w:rsidP="00A93683">
      <w:pPr>
        <w:autoSpaceDE w:val="0"/>
        <w:autoSpaceDN w:val="0"/>
        <w:adjustRightInd w:val="0"/>
        <w:ind w:firstLine="1276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Art. 15. A lei orçamentária poderá conter autorização para a realização de operações de crédito por antecipação de receita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 xml:space="preserve">orçamentária, desde que observado o disposto no art. 38 da </w:t>
      </w:r>
      <w:r w:rsidRPr="00E54A99">
        <w:rPr>
          <w:color w:val="000000"/>
          <w:sz w:val="23"/>
          <w:szCs w:val="23"/>
        </w:rPr>
        <w:lastRenderedPageBreak/>
        <w:t xml:space="preserve">Lei Complementar nº 101/2000 e atendidas </w:t>
      </w:r>
      <w:proofErr w:type="gramStart"/>
      <w:r w:rsidRPr="00E54A99">
        <w:rPr>
          <w:color w:val="000000"/>
          <w:sz w:val="23"/>
          <w:szCs w:val="23"/>
        </w:rPr>
        <w:t>as</w:t>
      </w:r>
      <w:proofErr w:type="gramEnd"/>
      <w:r w:rsidRPr="00E54A99">
        <w:rPr>
          <w:color w:val="000000"/>
          <w:sz w:val="23"/>
          <w:szCs w:val="23"/>
        </w:rPr>
        <w:t xml:space="preserve"> exigências estabelecidas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na Resolução nº 43/2001 do Senado Federal.</w:t>
      </w:r>
    </w:p>
    <w:p w:rsidR="00C6395D" w:rsidRPr="00E54A99" w:rsidRDefault="00C6395D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A93683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Subseção III</w:t>
      </w:r>
    </w:p>
    <w:p w:rsidR="00D87C54" w:rsidRPr="00E54A99" w:rsidRDefault="00D87C54" w:rsidP="00A93683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Da Definição de Montante e Forma de Utilização da Reserva de Contingência</w:t>
      </w:r>
    </w:p>
    <w:p w:rsidR="00C6395D" w:rsidRPr="00E54A99" w:rsidRDefault="00C6395D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A93683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Art. 16. A lei orçamentária conterá reserva de contingência constituída exclusivamente com recursos do orçamento fiscal e será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equivalente a, no mínimo, 30% (trinta por cento) da receita corrente líquida prevista na proposta orçamentária de 2010, destinada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atendimento de passivos contingentes, outros riscos e eventos fiscais imprevistos e reforço das dotações orçamentárias que se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tornarem insuficientes.</w:t>
      </w:r>
    </w:p>
    <w:p w:rsidR="00C6395D" w:rsidRPr="00E54A99" w:rsidRDefault="00C6395D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A93683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Seção III</w:t>
      </w:r>
    </w:p>
    <w:p w:rsidR="00D87C54" w:rsidRPr="00E54A99" w:rsidRDefault="00D87C54" w:rsidP="00A93683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Da Política de Pessoal e dos Serviços Extraordinários</w:t>
      </w:r>
    </w:p>
    <w:p w:rsidR="00D87C54" w:rsidRPr="00E54A99" w:rsidRDefault="00D87C54" w:rsidP="00A93683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Subseção I</w:t>
      </w:r>
    </w:p>
    <w:p w:rsidR="00D87C54" w:rsidRPr="00E54A99" w:rsidRDefault="00D87C54" w:rsidP="00A93683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Das Disposições Sobre Política de Pessoal e Encargos Sociais</w:t>
      </w:r>
    </w:p>
    <w:p w:rsidR="00C6395D" w:rsidRPr="00E54A99" w:rsidRDefault="00C6395D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A93683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Art. 17. Para fins de atendimento ao disposto no art. 169, § 1º, inciso II, da Constituição da República, observado o inciso I do mesmo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 xml:space="preserve">parágrafo, </w:t>
      </w:r>
      <w:proofErr w:type="gramStart"/>
      <w:r w:rsidRPr="00E54A99">
        <w:rPr>
          <w:color w:val="000000"/>
          <w:sz w:val="23"/>
          <w:szCs w:val="23"/>
        </w:rPr>
        <w:t>ficam</w:t>
      </w:r>
      <w:proofErr w:type="gramEnd"/>
      <w:r w:rsidRPr="00E54A99">
        <w:rPr>
          <w:color w:val="000000"/>
          <w:sz w:val="23"/>
          <w:szCs w:val="23"/>
        </w:rPr>
        <w:t xml:space="preserve"> autorizadas as concessões de quaisquer vantagens, aumentos de remuneração, criação de cargos, empregos e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funções, alterações de estrutura de carreiras, bem como admissões ou contratações de pessoal a qualquer título, desde que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observado o disposto nos artigos 15, 16 e 17 da Lei Complementar nº 101/2000.</w:t>
      </w:r>
    </w:p>
    <w:p w:rsidR="00C6395D" w:rsidRPr="00E54A99" w:rsidRDefault="00C6395D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 xml:space="preserve">§ 1º. Além de observar </w:t>
      </w:r>
      <w:proofErr w:type="gramStart"/>
      <w:r w:rsidRPr="00E54A99">
        <w:rPr>
          <w:color w:val="000000"/>
          <w:sz w:val="23"/>
          <w:szCs w:val="23"/>
        </w:rPr>
        <w:t>as normas do caput, no exercício financeiro de 2010 as despesas</w:t>
      </w:r>
      <w:proofErr w:type="gramEnd"/>
      <w:r w:rsidRPr="00E54A99">
        <w:rPr>
          <w:color w:val="000000"/>
          <w:sz w:val="23"/>
          <w:szCs w:val="23"/>
        </w:rPr>
        <w:t xml:space="preserve"> com pessoal dos Poderes Executivo e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Legislativo deverão atender as disposições contidas nos artigos 18, 19 e 20 da Lei Complementar nº 101/2000.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§ 2º. Se a despesa total com pessoal ultrapassar os limites estabelecidos no art. 19 da Lei Complementar nº 101/2000, serão adotadas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as medidas de que tratam os §§ 3º e 4º do art. 169 da Constituição da República.</w:t>
      </w:r>
    </w:p>
    <w:p w:rsidR="00EC6888" w:rsidRPr="00E54A99" w:rsidRDefault="00EC6888" w:rsidP="00A93683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:rsidR="00D87C54" w:rsidRPr="00E54A99" w:rsidRDefault="00D87C54" w:rsidP="00A93683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Subseção II</w:t>
      </w:r>
    </w:p>
    <w:p w:rsidR="00D87C54" w:rsidRPr="00E54A99" w:rsidRDefault="00D87C54" w:rsidP="00A93683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Da Previsão para Contratação Excepcional de Horas Extras</w:t>
      </w:r>
    </w:p>
    <w:p w:rsidR="00C6395D" w:rsidRPr="00E54A99" w:rsidRDefault="00C6395D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A93683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Art. 18. Se durante o exercício de 2010 a despesa com pessoal atingir o limite de que trata o parágrafo único do art. 22 da Lei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Complementar nº 101/2000, o pagamento da realização de serviço extraordinário somente poderá ocorrer quando destinada ao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atendimento de relevante interesse público que ensejem situações emergenciais de risco ou de prejuízo para a sociedade.</w:t>
      </w:r>
    </w:p>
    <w:p w:rsidR="00A93683" w:rsidRPr="00E54A99" w:rsidRDefault="00A93683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Parágrafo único. A autorização para a realização de serviço extraordinário para atender as situações previstas no caput deste artigo,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no âmbito do Poder Executivo é de exclusiva competência do Prefeito Municipal e no âmbito do Poder Legislativo é de exclusiva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competência do Presidente da Câmara.</w:t>
      </w:r>
    </w:p>
    <w:p w:rsidR="00E54A99" w:rsidRDefault="00E54A99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E54A99" w:rsidRDefault="00E54A99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E54A99" w:rsidRDefault="00E54A99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E54A99" w:rsidRPr="00E54A99" w:rsidRDefault="00E54A99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C6395D" w:rsidRPr="00E54A99" w:rsidRDefault="00C6395D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A93683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lastRenderedPageBreak/>
        <w:t>Seção IV</w:t>
      </w:r>
    </w:p>
    <w:p w:rsidR="00D87C54" w:rsidRPr="00E54A99" w:rsidRDefault="00D87C54" w:rsidP="00A93683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Das Disposições Sobre a Receita e Alterações na Legislação Tributária do Município</w:t>
      </w:r>
    </w:p>
    <w:p w:rsidR="00C6395D" w:rsidRPr="00E54A99" w:rsidRDefault="00C6395D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A93683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Art. 19. A estimativa da receita que constará do projeto de lei orçamentária para o exercício de 2010, com vistas à expansão da base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tributária e conseqüente aumento das receitas próprias, contemplará medidas de aperfeiçoamento da administração dos tributos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municipais, dentre as quais:</w:t>
      </w:r>
    </w:p>
    <w:p w:rsidR="00C6395D" w:rsidRPr="00E54A99" w:rsidRDefault="00C6395D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I – aperfeiçoamento do sistema de formação, tramitação e julgamento dos processos tributário-administrativos, visando à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 xml:space="preserve">racionalização, simplificação e </w:t>
      </w:r>
      <w:proofErr w:type="gramStart"/>
      <w:r w:rsidRPr="00E54A99">
        <w:rPr>
          <w:color w:val="000000"/>
          <w:sz w:val="23"/>
          <w:szCs w:val="23"/>
        </w:rPr>
        <w:t>agilização</w:t>
      </w:r>
      <w:proofErr w:type="gramEnd"/>
      <w:r w:rsidRPr="00E54A99">
        <w:rPr>
          <w:color w:val="000000"/>
          <w:sz w:val="23"/>
          <w:szCs w:val="23"/>
        </w:rPr>
        <w:t>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II – aperfeiçoamento dos sistemas de fiscalização, cobrança e arrecadação de tributos, objetivando a sua maior exatidão;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III – aperfeiçoamento dos processos tributário-administrativos, por meio da revisão e racionalização das rotinas e processos,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objetivando a modernização, a padronização de atividades, a melhoria dos controles internos e a eficiência na prestação de serviços;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IV – aplicação das penalidades fiscais como instrumento inibitório da prática de infração da legislação tributária.</w:t>
      </w:r>
    </w:p>
    <w:p w:rsidR="00C6395D" w:rsidRPr="00E54A99" w:rsidRDefault="00C6395D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A93683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Art. 20. A estimativa da receita de que trata o artigo anterior levará em consideração, adicionalmente, o impacto de alteração na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legislação tributária, com destaque para:</w:t>
      </w:r>
    </w:p>
    <w:p w:rsidR="00C6395D" w:rsidRPr="00E54A99" w:rsidRDefault="00C6395D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I – atualização da planta genérica de valores do Município;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II – revisão, atualização ou adequação da legislação sobre Imposto Predial e Territorial Urbano, suas alíquotas, forma de cálculo,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condições de pagamentos, descontos e isenções, inclusive com relação à progressividade deste imposto;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III – revisão da legislação sobre o uso do solo, com redefinição dos limites da zona urbana municipal;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IV – revisão da legislação referente ao Imposto Sobre Serviços de Qualquer Natureza;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 xml:space="preserve">V – revisão da legislação aplicável ao Imposto sobre Transmissão </w:t>
      </w:r>
      <w:proofErr w:type="spellStart"/>
      <w:r w:rsidRPr="00E54A99">
        <w:rPr>
          <w:color w:val="000000"/>
          <w:sz w:val="23"/>
          <w:szCs w:val="23"/>
        </w:rPr>
        <w:t>Intervivos</w:t>
      </w:r>
      <w:proofErr w:type="spellEnd"/>
      <w:r w:rsidRPr="00E54A99">
        <w:rPr>
          <w:color w:val="000000"/>
          <w:sz w:val="23"/>
          <w:szCs w:val="23"/>
        </w:rPr>
        <w:t xml:space="preserve"> de Bens Imóveis e de Direitos Reais sobre Imóveis;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VI – instituição de taxas pela utilização efetiva ou potencial de serviços públicos específicos e divisíveis, prestados ao contribuinte ou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postos a sua disposição;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VII – revisão da legislação sobre as taxas pelo exercício do poder de polícia;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VIII – revisão das isenções dos tributos municipais, para manter o interesse público e a justiça fiscal;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IX – instituição, por lei específica, da Contribuição de Melhoria com a finalidade de tornar exeqüível a sua cobrança;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X – a instituição de novos tributos ou a modificação, em decorrência de alterações legais, daqueles já instituídos.</w:t>
      </w:r>
    </w:p>
    <w:p w:rsidR="00C6395D" w:rsidRPr="00E54A99" w:rsidRDefault="00C6395D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A93683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 xml:space="preserve">Art. 21. O projeto de lei que conceda ou amplie incentivo ou benefício de natureza tributária somente será aprovado se atendidas </w:t>
      </w:r>
      <w:proofErr w:type="gramStart"/>
      <w:r w:rsidRPr="00E54A99">
        <w:rPr>
          <w:color w:val="000000"/>
          <w:sz w:val="23"/>
          <w:szCs w:val="23"/>
        </w:rPr>
        <w:t>as</w:t>
      </w:r>
      <w:proofErr w:type="gramEnd"/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exigências do art. 14 da Lei Complementar nº 101/2000.</w:t>
      </w:r>
    </w:p>
    <w:p w:rsidR="00C6395D" w:rsidRPr="00E54A99" w:rsidRDefault="00C6395D" w:rsidP="00A93683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D87C54" w:rsidRPr="00E54A99" w:rsidRDefault="00D87C54" w:rsidP="00A93683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Art. 22. Na estimativa das receitas do projeto de lei orçamentária poderão ser considerados os efeitos de propostas de alterações na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legislação tributária que estejam em tramitação na Câmara Municipal.</w:t>
      </w:r>
    </w:p>
    <w:p w:rsidR="00C6395D" w:rsidRPr="00E54A99" w:rsidRDefault="00C6395D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lastRenderedPageBreak/>
        <w:t>§ 1º. Caso as alterações propostas não sejam aprovadas, ou o sejam parcialmente, de forma a não permitir a integralização dos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recursos esperados, as dotações à conta das referidas receitas serão canceladas, mediante decreto, nos 30 (trinta) dias subseqüentes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à publicação do projeto de lei orçamentária de 2010.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§ 2º. No caso de não-aprovação das propostas de alteração previstas no caput, poderá ser efetuada a substituição das fontes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condicionadas por excesso de arrecadação de outras fontes, inclusive de operações de crédito, ou por superávit financeiro apurado em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balanço patrimonial do exercício anterior, antes do cancelamento previsto no § 1º deste artigo.</w:t>
      </w:r>
    </w:p>
    <w:p w:rsidR="00C6395D" w:rsidRPr="00E54A99" w:rsidRDefault="00C6395D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A93683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Seção V</w:t>
      </w:r>
    </w:p>
    <w:p w:rsidR="00D87C54" w:rsidRPr="00E54A99" w:rsidRDefault="00D87C54" w:rsidP="00A93683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Do Equilíbrio Entre Receitas e Despesas</w:t>
      </w:r>
    </w:p>
    <w:p w:rsidR="00C6395D" w:rsidRPr="00E54A99" w:rsidRDefault="00C6395D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A93683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Art. 23. A elaboração do projeto, a aprovação e a execução da lei orçamentária do exercício de 2010 serão orientadas no sentido de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alcançar o superávit primário necessário para garantir uma trajetória de solidez financeira da administração municipal, conforme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discriminado no Anexo de Metas Fiscais, constante desta Lei.</w:t>
      </w:r>
    </w:p>
    <w:p w:rsidR="00C6395D" w:rsidRPr="00E54A99" w:rsidRDefault="00C6395D" w:rsidP="00A93683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D87C54" w:rsidRPr="00E54A99" w:rsidRDefault="00D87C54" w:rsidP="00A93683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Art. 24. Os projetos de lei que impliquem em diminuição de receita ou aumento de despesa do Município no exercício de 2010 deverão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estar acompanhados de demonstrativos que discriminem o montante estimado da diminuição da receita ou do aumento da despesa,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para cada um dos exercícios compreendidos no período de 2010 a 2012, demonstrando a memória de cálculo respectiva.</w:t>
      </w:r>
    </w:p>
    <w:p w:rsidR="00C6395D" w:rsidRPr="00E54A99" w:rsidRDefault="00C6395D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Parágrafo único. Não será aprovado projeto de lei que implique em aumento de despesa sem que estejam acompanhados das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 xml:space="preserve">medidas definidas nos </w:t>
      </w:r>
      <w:proofErr w:type="spellStart"/>
      <w:r w:rsidRPr="00E54A99">
        <w:rPr>
          <w:color w:val="000000"/>
          <w:sz w:val="23"/>
          <w:szCs w:val="23"/>
        </w:rPr>
        <w:t>arts</w:t>
      </w:r>
      <w:proofErr w:type="spellEnd"/>
      <w:r w:rsidRPr="00E54A99">
        <w:rPr>
          <w:color w:val="000000"/>
          <w:sz w:val="23"/>
          <w:szCs w:val="23"/>
        </w:rPr>
        <w:t>. 16 e 17 da Lei Complementar nº 101/2000.</w:t>
      </w:r>
    </w:p>
    <w:p w:rsidR="00C6395D" w:rsidRPr="00E54A99" w:rsidRDefault="00C6395D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A93683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Art. 25. As estratégias para busca ou manutenção do equilíbrio entre as receitas e despesas poderão levar em conta as seguintes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medidas:</w:t>
      </w:r>
    </w:p>
    <w:p w:rsidR="00C6395D" w:rsidRPr="00E54A99" w:rsidRDefault="00C6395D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I – para elevação das receitas: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proofErr w:type="gramStart"/>
      <w:r w:rsidRPr="00E54A99">
        <w:rPr>
          <w:color w:val="000000"/>
          <w:sz w:val="23"/>
          <w:szCs w:val="23"/>
        </w:rPr>
        <w:t>a</w:t>
      </w:r>
      <w:proofErr w:type="gramEnd"/>
      <w:r w:rsidRPr="00E54A99">
        <w:rPr>
          <w:color w:val="000000"/>
          <w:sz w:val="23"/>
          <w:szCs w:val="23"/>
        </w:rPr>
        <w:t xml:space="preserve"> – a implementação das medidas previstas nos </w:t>
      </w:r>
      <w:proofErr w:type="spellStart"/>
      <w:r w:rsidRPr="00E54A99">
        <w:rPr>
          <w:color w:val="000000"/>
          <w:sz w:val="23"/>
          <w:szCs w:val="23"/>
        </w:rPr>
        <w:t>arts</w:t>
      </w:r>
      <w:proofErr w:type="spellEnd"/>
      <w:r w:rsidRPr="00E54A99">
        <w:rPr>
          <w:color w:val="000000"/>
          <w:sz w:val="23"/>
          <w:szCs w:val="23"/>
        </w:rPr>
        <w:t>. 20 e 21 desta Lei;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b – atualização e informatização do cadastro imobiliário;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c – chamamento geral dos contribuintes inscritos na Dívida Ativa.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II – para redução das despesas: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proofErr w:type="gramStart"/>
      <w:r w:rsidRPr="00E54A99">
        <w:rPr>
          <w:color w:val="000000"/>
          <w:sz w:val="23"/>
          <w:szCs w:val="23"/>
        </w:rPr>
        <w:t>a</w:t>
      </w:r>
      <w:proofErr w:type="gramEnd"/>
      <w:r w:rsidRPr="00E54A99">
        <w:rPr>
          <w:color w:val="000000"/>
          <w:sz w:val="23"/>
          <w:szCs w:val="23"/>
        </w:rPr>
        <w:t xml:space="preserve"> – utilização da modalidade de licitação denominada pregão e implantação de rigorosa pesquisa de preços, de forma a reduzir custos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 xml:space="preserve">de toda e qualquer compra e evitar a </w:t>
      </w:r>
      <w:proofErr w:type="spellStart"/>
      <w:r w:rsidRPr="00E54A99">
        <w:rPr>
          <w:color w:val="000000"/>
          <w:sz w:val="23"/>
          <w:szCs w:val="23"/>
        </w:rPr>
        <w:t>cartelização</w:t>
      </w:r>
      <w:proofErr w:type="spellEnd"/>
      <w:r w:rsidRPr="00E54A99">
        <w:rPr>
          <w:color w:val="000000"/>
          <w:sz w:val="23"/>
          <w:szCs w:val="23"/>
        </w:rPr>
        <w:t xml:space="preserve"> dos fornecedores;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b – revisão geral das gratificações concedidas aos servidores.</w:t>
      </w:r>
    </w:p>
    <w:p w:rsidR="00C6395D" w:rsidRPr="00E54A99" w:rsidRDefault="00C6395D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A93683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proofErr w:type="gramStart"/>
      <w:r w:rsidRPr="00E54A99">
        <w:rPr>
          <w:color w:val="000000"/>
          <w:sz w:val="23"/>
          <w:szCs w:val="23"/>
        </w:rPr>
        <w:t>Seção VI</w:t>
      </w:r>
      <w:proofErr w:type="gramEnd"/>
    </w:p>
    <w:p w:rsidR="00D87C54" w:rsidRPr="00E54A99" w:rsidRDefault="00D87C54" w:rsidP="00A93683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Dos Critérios e Formas de Limitação de Empenho</w:t>
      </w:r>
    </w:p>
    <w:p w:rsidR="00C6395D" w:rsidRPr="00E54A99" w:rsidRDefault="00C6395D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A93683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Art. 26. Na hipótese de ocorrência das circunstâncias estabelecidas no caput do artigo 9º, e no inciso II do § 1º do artigo 31, da Lei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Complementar nº 101/2000, o Poder Executivo e o Poder Legislativo procederão à respectiva limitação de empenho e de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movimentação financeira, calculada de forma proporcional à participação dos Poderes no total das dotações iniciais constantes da lei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orçamentária de 2010, utilizando para tal fim as cotas orçamentárias e financeiras.</w:t>
      </w:r>
    </w:p>
    <w:p w:rsidR="00C6395D" w:rsidRPr="00E54A99" w:rsidRDefault="00C6395D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§ 1º. O Poder Executivo comunicará ao Poder Legislativo o montante que lhe caberá tornar indisponível para empenho e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movimentação financeira, conforme proporção estabelecida no caput deste artigo.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 xml:space="preserve">§ 2º. </w:t>
      </w:r>
      <w:proofErr w:type="gramStart"/>
      <w:r w:rsidRPr="00E54A99">
        <w:rPr>
          <w:color w:val="000000"/>
          <w:sz w:val="23"/>
          <w:szCs w:val="23"/>
        </w:rPr>
        <w:t>Os Poderes Executivo e Legislativo, com base na comunicação</w:t>
      </w:r>
      <w:proofErr w:type="gramEnd"/>
      <w:r w:rsidRPr="00E54A99">
        <w:rPr>
          <w:color w:val="000000"/>
          <w:sz w:val="23"/>
          <w:szCs w:val="23"/>
        </w:rPr>
        <w:t xml:space="preserve"> de que trata o parágrafo anterior, emitirão e publicarão ato próprio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estabelecendo os montantes que caberão aos respectivos órgãos e entidades na limitação do empenho e da movimentação financeira.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§ 3º. Se verificado, ao final de um bimestre, que a realização da receita não será suficiente para garantir o equilíbrio das contas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públicas, adotar-se-ão as mesmas medidas previstas neste artigo.</w:t>
      </w:r>
    </w:p>
    <w:p w:rsidR="00C6395D" w:rsidRPr="00E54A99" w:rsidRDefault="00C6395D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A93683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Seção VII</w:t>
      </w:r>
    </w:p>
    <w:p w:rsidR="00D87C54" w:rsidRPr="00E54A99" w:rsidRDefault="00D87C54" w:rsidP="00A93683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Das Normas Relativas ao Controle de Custos e Avaliação dos Resultados dos Programas Financiados com Recursos dos Orçamentos</w:t>
      </w:r>
    </w:p>
    <w:p w:rsidR="00C6395D" w:rsidRPr="00E54A99" w:rsidRDefault="00C6395D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A93683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 xml:space="preserve">Art. 27. O Poder Executivo realizará estudos visando </w:t>
      </w:r>
      <w:proofErr w:type="gramStart"/>
      <w:r w:rsidRPr="00E54A99">
        <w:rPr>
          <w:color w:val="000000"/>
          <w:sz w:val="23"/>
          <w:szCs w:val="23"/>
        </w:rPr>
        <w:t>a</w:t>
      </w:r>
      <w:proofErr w:type="gramEnd"/>
      <w:r w:rsidRPr="00E54A99">
        <w:rPr>
          <w:color w:val="000000"/>
          <w:sz w:val="23"/>
          <w:szCs w:val="23"/>
        </w:rPr>
        <w:t xml:space="preserve"> definição de sistema de controle de custos e a avaliação do resultado dos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programas de governo.</w:t>
      </w:r>
    </w:p>
    <w:p w:rsidR="00C6395D" w:rsidRPr="00E54A99" w:rsidRDefault="00C6395D" w:rsidP="00A93683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D87C54" w:rsidRPr="00E54A99" w:rsidRDefault="00D87C54" w:rsidP="00A93683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 xml:space="preserve">Art. 28. Além de observar as demais diretrizes estabelecidas nesta Lei, </w:t>
      </w:r>
      <w:proofErr w:type="gramStart"/>
      <w:r w:rsidRPr="00E54A99">
        <w:rPr>
          <w:color w:val="000000"/>
          <w:sz w:val="23"/>
          <w:szCs w:val="23"/>
        </w:rPr>
        <w:t>a</w:t>
      </w:r>
      <w:proofErr w:type="gramEnd"/>
      <w:r w:rsidRPr="00E54A99">
        <w:rPr>
          <w:color w:val="000000"/>
          <w:sz w:val="23"/>
          <w:szCs w:val="23"/>
        </w:rPr>
        <w:t xml:space="preserve"> alocação dos recursos na lei orçamentária e em seus créditos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adicionais, bem como a respectiva execução, serão feitas de forma a propiciar o controle de custos e a avaliação dos resultados dos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programas de governo.</w:t>
      </w:r>
    </w:p>
    <w:p w:rsidR="00C6395D" w:rsidRPr="00E54A99" w:rsidRDefault="00C6395D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§ 1º. A lei orçamentária de 2010 e seus créditos adicionais deverão agregar todas as ações governamentais necessárias ao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cumprimento dos objetivos dos respectivos programas, sendo que as ações governamentais que não contribuírem para a realização de</w:t>
      </w:r>
      <w:r w:rsidR="00C6395D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um programa específico deverão ser agregadas num programa denominado “Apoio Administrativo” ou de finalidade semelhante.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§ 2º. Merecerá destaque o aprimoramento da gestão orçamentária, financeira e patrimonial, por intermédio da modernização dos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instrumentos de planejamento, execução, avaliação e controle interno.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 xml:space="preserve">§ 3º. O Poder Executivo promoverá amplo esforço de redução de custos, </w:t>
      </w:r>
      <w:proofErr w:type="gramStart"/>
      <w:r w:rsidRPr="00E54A99">
        <w:rPr>
          <w:color w:val="000000"/>
          <w:sz w:val="23"/>
          <w:szCs w:val="23"/>
        </w:rPr>
        <w:t>otimização</w:t>
      </w:r>
      <w:proofErr w:type="gramEnd"/>
      <w:r w:rsidRPr="00E54A99">
        <w:rPr>
          <w:color w:val="000000"/>
          <w:sz w:val="23"/>
          <w:szCs w:val="23"/>
        </w:rPr>
        <w:t xml:space="preserve"> de gastos e </w:t>
      </w:r>
      <w:proofErr w:type="spellStart"/>
      <w:r w:rsidRPr="00E54A99">
        <w:rPr>
          <w:color w:val="000000"/>
          <w:sz w:val="23"/>
          <w:szCs w:val="23"/>
        </w:rPr>
        <w:t>reordenamento</w:t>
      </w:r>
      <w:proofErr w:type="spellEnd"/>
      <w:r w:rsidRPr="00E54A99">
        <w:rPr>
          <w:color w:val="000000"/>
          <w:sz w:val="23"/>
          <w:szCs w:val="23"/>
        </w:rPr>
        <w:t xml:space="preserve"> de despesas do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setor público municipal, sobretudo pelo aumento da produtividade na prestação de serviços públicos e sociais.</w:t>
      </w:r>
    </w:p>
    <w:p w:rsidR="009200DF" w:rsidRPr="00E54A99" w:rsidRDefault="009200D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A93683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Seção VIII</w:t>
      </w:r>
    </w:p>
    <w:p w:rsidR="00D87C54" w:rsidRPr="00E54A99" w:rsidRDefault="00D87C54" w:rsidP="00A93683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Das Condições e Exigências para Transferências de Recursos a Entidades Públicas e Privadas</w:t>
      </w:r>
    </w:p>
    <w:p w:rsidR="009200DF" w:rsidRPr="00E54A99" w:rsidRDefault="009200D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EA1382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Art. 29. É vedada a inclusão, na lei orçamentária e em seus créditos adicionais, de dotações a título de subvenções sociais,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ressalvadas as autorizadas mediante lei específica que sejam destinadas:</w:t>
      </w:r>
    </w:p>
    <w:p w:rsidR="009200DF" w:rsidRPr="00E54A99" w:rsidRDefault="009200D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I – às entidades que prestem atendimento direto ao público, de forma gratuita, nas áreas de assistência social, saúde, educação ou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cultura;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II – às entidades sem fins lucrativos que realizem atividades de natureza continuada;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III – às entidades que tenham sido declaradas por lei como utilidade pública.</w:t>
      </w:r>
    </w:p>
    <w:p w:rsidR="009200DF" w:rsidRPr="00E54A99" w:rsidRDefault="009200D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Parágrafo único. Para habilitar-se ao recebimento de subvenções sociais, a entidade privada sem fins lucrativos deverá apresentar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 xml:space="preserve">declaração de regular funcionamento, emitida no exercício de </w:t>
      </w:r>
      <w:r w:rsidRPr="00E54A99">
        <w:rPr>
          <w:color w:val="000000"/>
          <w:sz w:val="23"/>
          <w:szCs w:val="23"/>
        </w:rPr>
        <w:lastRenderedPageBreak/>
        <w:t>2010 por, no mínimo, uma autoridade local, e comprovante da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regularidade do mandato de sua diretoria.</w:t>
      </w:r>
    </w:p>
    <w:p w:rsidR="009200DF" w:rsidRPr="00E54A99" w:rsidRDefault="009200D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EA1382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Art. 30. É vedada a inclusão, na lei orçamentária e em seus créditos adicionais, de dotações a título de auxílios e contribuições para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entidades públicas e/ou privadas, ressalvadas as autorizadas mediante lei específica e desde que sejam:</w:t>
      </w:r>
    </w:p>
    <w:p w:rsidR="009200DF" w:rsidRPr="00E54A99" w:rsidRDefault="009200D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I – de atendimento direto e gratuito ao público, voltadas para as ações relativas ao ensino, saúde, cultura, assistência social,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agropecuária e de proteção ao meio ambiente;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II – associações ou consórcios intermunicipais, constituídos exclusivamente por entes públicos, legalmente instituídos e signatários de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contrato de gestão com a administração pública municipal, e que participem da execução de programas municipais.</w:t>
      </w:r>
    </w:p>
    <w:p w:rsidR="009200DF" w:rsidRPr="00E54A99" w:rsidRDefault="009200D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EA1382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Art. 31. É vedada a inclusão, na lei orçamentária e em seus créditos adicionais, de dotações a título de contribuições para entidades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privadas de fins lucrativos, ressalvadas as instituídas por lei específica no âmbito do Município que sejam destinadas aos programas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de desenvolvimento industrial.</w:t>
      </w:r>
    </w:p>
    <w:p w:rsidR="009200DF" w:rsidRPr="00E54A99" w:rsidRDefault="009200DF" w:rsidP="00EA1382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D87C54" w:rsidRPr="00E54A99" w:rsidRDefault="00D87C54" w:rsidP="00EA1382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Art. 32. É vedada a inclusão, na lei orçamentária e em seus créditos adicionais, de dotação para a realização de transferência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 xml:space="preserve">financeira a outro ente da federação, exceto para atender as situações que envolvam claramente </w:t>
      </w:r>
      <w:proofErr w:type="gramStart"/>
      <w:r w:rsidRPr="00E54A99">
        <w:rPr>
          <w:color w:val="000000"/>
          <w:sz w:val="23"/>
          <w:szCs w:val="23"/>
        </w:rPr>
        <w:t>o atendimento de interesses locais,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observadas</w:t>
      </w:r>
      <w:proofErr w:type="gramEnd"/>
      <w:r w:rsidRPr="00E54A99">
        <w:rPr>
          <w:color w:val="000000"/>
          <w:sz w:val="23"/>
          <w:szCs w:val="23"/>
        </w:rPr>
        <w:t xml:space="preserve"> as exigências do art. 25 da Lei Complementar nº 101/2000.</w:t>
      </w:r>
    </w:p>
    <w:p w:rsidR="009200DF" w:rsidRPr="00E54A99" w:rsidRDefault="009200D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EA1382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Art. 33. As entidades beneficiadas com os recursos públicos previstos nesta Seção, a qualquer título, submeter-se-ão à fiscalização do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Poder Executivo com a finalidade de verificar o cumprimento dos objetivos para os quais receberam os recursos.</w:t>
      </w:r>
    </w:p>
    <w:p w:rsidR="009200DF" w:rsidRPr="00E54A99" w:rsidRDefault="009200DF" w:rsidP="00EA1382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D87C54" w:rsidRPr="00E54A99" w:rsidRDefault="00D87C54" w:rsidP="00EA1382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 xml:space="preserve">Art. 34. As transferências de recursos às entidades previstas nos </w:t>
      </w:r>
      <w:proofErr w:type="spellStart"/>
      <w:r w:rsidRPr="00E54A99">
        <w:rPr>
          <w:color w:val="000000"/>
          <w:sz w:val="23"/>
          <w:szCs w:val="23"/>
        </w:rPr>
        <w:t>arts</w:t>
      </w:r>
      <w:proofErr w:type="spellEnd"/>
      <w:r w:rsidRPr="00E54A99">
        <w:rPr>
          <w:color w:val="000000"/>
          <w:sz w:val="23"/>
          <w:szCs w:val="23"/>
        </w:rPr>
        <w:t>. 30 a 33 desta Seção deverão ser precedidas da aprovação de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plano de trabalho e da celebração de convênio, devendo ser observadas na elaboração de tais instrumentos as exigências do art. 116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da Lei nº 8.666/1993, ou de outra Lei que vier substituí-la ou alterá-la.</w:t>
      </w:r>
    </w:p>
    <w:p w:rsidR="009200DF" w:rsidRPr="00E54A99" w:rsidRDefault="009200D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§ 1º. Compete ao órgão ou entidade concedente o acompanhamento da realização do plano de trabalho executado com recursos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transferidos pelo Município.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§ 2º. É vedada a celebração de convênio com entidade em situação irregular com o Município, em decorrência de transferência feita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anteriormente.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§ 3º. Excetuam-se do cumprimento dos dispositivos legais a que se refere o caput deste artigo as caixas escolares da rede pública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municipal de ensino que receberem recursos diretamente do Governo Federal por meio do PDDE – Programa Dinheiro Direto na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Escola.</w:t>
      </w:r>
    </w:p>
    <w:p w:rsidR="009200DF" w:rsidRPr="00E54A99" w:rsidRDefault="009200D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EA1382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Art. 35. É vedada a destinação, na lei orçamentária e em seus créditos adicionais, de recursos para diretamente cobrir necessidades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de pessoas físicas, ressalvadas as que atendam as exigências do art. 26 da Lei Complementar nº 101/2000 e sejam observadas as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condições definidas na lei específica.</w:t>
      </w:r>
    </w:p>
    <w:p w:rsidR="009200DF" w:rsidRPr="00E54A99" w:rsidRDefault="009200D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Parágrafo único. As normas do caput deste artigo não se aplicam a ajuda a pessoas físicas custeadas pelos recursos do Sistema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Único de Saúde.</w:t>
      </w:r>
    </w:p>
    <w:p w:rsidR="009200DF" w:rsidRPr="00E54A99" w:rsidRDefault="009200D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EA1382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lastRenderedPageBreak/>
        <w:t>Art. 36. A transferência de recursos financeiros de uma entidade para outra, inclusive da Prefeitura Municipal para as entidades da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Administração Indireta e para a Câmara Municipal, fica limitada ao valor previsto na lei orçamentária anual e em seus créditos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adicionais.</w:t>
      </w:r>
    </w:p>
    <w:p w:rsidR="009200DF" w:rsidRPr="00E54A99" w:rsidRDefault="009200D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Parágrafo único. O aumento da transferência de recursos financeiros de uma entidade para outra somente poderá ocorrer mediante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prévia autorização legislativa, conforme determina o art. 167, inciso VI da Constituição da República.</w:t>
      </w:r>
    </w:p>
    <w:p w:rsidR="009200DF" w:rsidRPr="00E54A99" w:rsidRDefault="009200D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EA1382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Seção IX</w:t>
      </w:r>
    </w:p>
    <w:p w:rsidR="00D87C54" w:rsidRPr="00E54A99" w:rsidRDefault="00D87C54" w:rsidP="00EA1382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Da Autorização para o Município Auxiliar no Custeio de Despesas de Competência de Outros Entes da Federação</w:t>
      </w:r>
    </w:p>
    <w:p w:rsidR="009200DF" w:rsidRPr="00E54A99" w:rsidRDefault="009200D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EA1382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Art</w:t>
      </w:r>
      <w:r w:rsidR="00EC6888" w:rsidRPr="00E54A99">
        <w:rPr>
          <w:color w:val="000000"/>
          <w:sz w:val="23"/>
          <w:szCs w:val="23"/>
        </w:rPr>
        <w:t>.</w:t>
      </w:r>
      <w:r w:rsidRPr="00E54A99">
        <w:rPr>
          <w:color w:val="000000"/>
          <w:sz w:val="23"/>
          <w:szCs w:val="23"/>
        </w:rPr>
        <w:t xml:space="preserve"> 37. É vedada a inclusão, na lei orçamentária e em seus créditos adicionais, de dotações para que o Município contribua para o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 xml:space="preserve">custeio de despesas de competência de outro ente da federação, </w:t>
      </w:r>
      <w:proofErr w:type="gramStart"/>
      <w:r w:rsidRPr="00E54A99">
        <w:rPr>
          <w:color w:val="000000"/>
          <w:sz w:val="23"/>
          <w:szCs w:val="23"/>
        </w:rPr>
        <w:t>ressalvadas</w:t>
      </w:r>
      <w:proofErr w:type="gramEnd"/>
      <w:r w:rsidRPr="00E54A99">
        <w:rPr>
          <w:color w:val="000000"/>
          <w:sz w:val="23"/>
          <w:szCs w:val="23"/>
        </w:rPr>
        <w:t xml:space="preserve"> as autorizadas mediante lei específica e que sejam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destinadas ao atendimento das situações que envolvam claramente o interesse local.</w:t>
      </w:r>
    </w:p>
    <w:p w:rsidR="009200DF" w:rsidRPr="00E54A99" w:rsidRDefault="009200D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Parágrafo único. A realização da despesa definida no caput deste artigo deverá ser precedida da aprovação de plano de trabalho e da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celebração de convênio, de acordo com o art. 116 da Lei nº 8.666/1993.</w:t>
      </w:r>
    </w:p>
    <w:p w:rsidR="009200DF" w:rsidRPr="00E54A99" w:rsidRDefault="009200D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EA1382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Seção X</w:t>
      </w:r>
    </w:p>
    <w:p w:rsidR="00D87C54" w:rsidRPr="00E54A99" w:rsidRDefault="00D87C54" w:rsidP="00EA1382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Dos Parâmetros para a Elaboração da Programação Financeira e do Cronograma Mensal de Desembolso.</w:t>
      </w:r>
    </w:p>
    <w:p w:rsidR="00EA1382" w:rsidRPr="00E54A99" w:rsidRDefault="00EA1382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EA1382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Art. 38. O Poder Executivo estabelecerá por ato próprio, até 30 (trinta) dias após a publicação da lei orçamentária de 2010, as metas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 xml:space="preserve">bimestrais de arrecadação, a programação financeira e o cronograma mensal de desembolso, respectivamente, nos termos dos </w:t>
      </w:r>
      <w:proofErr w:type="spellStart"/>
      <w:r w:rsidRPr="00E54A99">
        <w:rPr>
          <w:color w:val="000000"/>
          <w:sz w:val="23"/>
          <w:szCs w:val="23"/>
        </w:rPr>
        <w:t>arts</w:t>
      </w:r>
      <w:proofErr w:type="spellEnd"/>
      <w:r w:rsidRPr="00E54A99">
        <w:rPr>
          <w:color w:val="000000"/>
          <w:sz w:val="23"/>
          <w:szCs w:val="23"/>
        </w:rPr>
        <w:t>.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13 e 8º da Lei Complementar nº 101/2000.</w:t>
      </w:r>
    </w:p>
    <w:p w:rsidR="009200DF" w:rsidRPr="00E54A99" w:rsidRDefault="009200D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§ 1º. Para atender ao caput deste artigo, as entidades da administração indireta e o Poder Legislativo encaminharão ao Setor de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Planejamento e Contabilidade do Município, até 15 quinze dias após a publicação da lei orçamentária de 2010, os seguintes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demonstrativos:</w:t>
      </w:r>
    </w:p>
    <w:p w:rsidR="009200DF" w:rsidRPr="00E54A99" w:rsidRDefault="009200D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I – as metas mensais de arrecadação de receitas, de forma a atender o disposto no art. 13 da Lei Complementar nº 101/2000;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II – a programação financeira das despesas, nos termos do art. 8º da Lei Complementar nº 101/2000;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III – o cronograma mensal de desembolso, incluídos os pagamentos dos restos a pagar, nos termos do art. 8º da Lei Complementar nº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101/2000.</w:t>
      </w:r>
    </w:p>
    <w:p w:rsidR="009200DF" w:rsidRPr="00E54A99" w:rsidRDefault="009200D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§ 2º. O Poder Executivo deverá dar publicidade às metas bimestrais de arrecadação, à programação financeira e ao cronograma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mensal de desembolso, no órgão oficial de publicação do Município até 30 (trinta) dias após a publicação da lei orçamentária de 2010;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§ 3º. A programação financeira e o cronograma mensal de desembolso, de que trata o caput deste artigo, deverão ser elaborados de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forma a garantir o cumprimento da meta de resultado primário estabelecida nesta Lei.</w:t>
      </w:r>
    </w:p>
    <w:p w:rsidR="009200DF" w:rsidRPr="00E54A99" w:rsidRDefault="009200D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EA1382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lastRenderedPageBreak/>
        <w:t>Seção XI</w:t>
      </w:r>
    </w:p>
    <w:p w:rsidR="00D87C54" w:rsidRPr="00E54A99" w:rsidRDefault="00D87C54" w:rsidP="00EA1382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Da Definição de Critérios para Início de Novos Projetos</w:t>
      </w:r>
    </w:p>
    <w:p w:rsidR="009200DF" w:rsidRPr="00E54A99" w:rsidRDefault="009200D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EA1382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Art. 39. Além da observância das metas e prioridades definidas nos termos do artigo 2º desta Lei, a lei orçamentária de 2010 e seus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 xml:space="preserve">créditos </w:t>
      </w:r>
      <w:proofErr w:type="gramStart"/>
      <w:r w:rsidRPr="00E54A99">
        <w:rPr>
          <w:color w:val="000000"/>
          <w:sz w:val="23"/>
          <w:szCs w:val="23"/>
        </w:rPr>
        <w:t>adicionais, observado</w:t>
      </w:r>
      <w:proofErr w:type="gramEnd"/>
      <w:r w:rsidRPr="00E54A99">
        <w:rPr>
          <w:color w:val="000000"/>
          <w:sz w:val="23"/>
          <w:szCs w:val="23"/>
        </w:rPr>
        <w:t xml:space="preserve"> o disposto no art. 45 da Lei Complementar nº 101/2000, somente incluirão projetos novos se:</w:t>
      </w:r>
    </w:p>
    <w:p w:rsidR="009200DF" w:rsidRPr="00E54A99" w:rsidRDefault="009200D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I – estiverem compatíveis com o Plano Plurianual de 2010-2013 e com as normas desta Lei;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II – as dotações consignadas às obras já iniciadas forem suficientes para o atendimento de seu cronograma físico-financeiro;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III – estiverem preservados os recursos necessários à conservação do patrimônio público;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IV – os recursos alocados destinarem-se a contrapartidas de recursos federais, estaduais ou de operações de crédito.</w:t>
      </w:r>
    </w:p>
    <w:p w:rsidR="009200DF" w:rsidRPr="00E54A99" w:rsidRDefault="009200D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Parágrafo único. Considera-se projeto em andamento para os efeitos desta Lei, aquele cuja execução iniciar-se até a data de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encaminhamento da proposta orçamentária de 2010, cujo cronograma de execução ultrapasse o término do exercício de 2009.</w:t>
      </w:r>
    </w:p>
    <w:p w:rsidR="009200DF" w:rsidRPr="00E54A99" w:rsidRDefault="009200D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EA1382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Seção XII</w:t>
      </w:r>
    </w:p>
    <w:p w:rsidR="00D87C54" w:rsidRPr="00E54A99" w:rsidRDefault="00D87C54" w:rsidP="00EA1382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Da Definição das Despesas Consideradas Irrelevantes</w:t>
      </w:r>
    </w:p>
    <w:p w:rsidR="009200DF" w:rsidRPr="00E54A99" w:rsidRDefault="009200D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EA1382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Art. 40. Para fins do disposto no § 3º do art. 16 da Lei Complementar nº 101/2000, são consideradas despesas irrelevantes aquelas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cujo valor não ultrapasse os limites previstos nos incisos I e II do art. 24 da Lei nº 8.666/1993, nos casos, respectivamente, de obras e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serviços de engenharia e de outros serviços e compras.</w:t>
      </w:r>
    </w:p>
    <w:p w:rsidR="009200DF" w:rsidRPr="00E54A99" w:rsidRDefault="009200D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EA1382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Seção XIII</w:t>
      </w:r>
    </w:p>
    <w:p w:rsidR="00D87C54" w:rsidRPr="00E54A99" w:rsidRDefault="00D87C54" w:rsidP="00EA1382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Do Incentivo à Participação Popular</w:t>
      </w:r>
    </w:p>
    <w:p w:rsidR="009200DF" w:rsidRPr="00E54A99" w:rsidRDefault="009200D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EA1382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Art. 41. O projeto de lei orçamentária do Município, relativo ao exercício financeiro de 2010, deverá assegurar a transparência na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elaboração e execução do orçamento.</w:t>
      </w:r>
    </w:p>
    <w:p w:rsidR="009200DF" w:rsidRPr="00E54A99" w:rsidRDefault="009200D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Parágrafo único</w:t>
      </w:r>
      <w:r w:rsidR="00EC6888" w:rsidRPr="00E54A99">
        <w:rPr>
          <w:color w:val="000000"/>
          <w:sz w:val="23"/>
          <w:szCs w:val="23"/>
        </w:rPr>
        <w:t>.</w:t>
      </w:r>
      <w:r w:rsidRPr="00E54A99">
        <w:rPr>
          <w:color w:val="000000"/>
          <w:sz w:val="23"/>
          <w:szCs w:val="23"/>
        </w:rPr>
        <w:t xml:space="preserve"> O princípio da transparência implica, além da observância do princípio constitucional da publicidade, na utilização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dos meios disponíveis para garantir o efetivo acesso dos munícipes às informações relativas ao orçamento.</w:t>
      </w:r>
    </w:p>
    <w:p w:rsidR="009200DF" w:rsidRPr="00E54A99" w:rsidRDefault="009200D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EA1382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Art. 42. Será assegurada ao cidadão a participação nas audiências públicas para:</w:t>
      </w:r>
    </w:p>
    <w:p w:rsidR="009200DF" w:rsidRPr="00E54A99" w:rsidRDefault="009200D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I – elaboração da proposta orçamentária de 2010, mediante regular processo de consulta;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II – avaliação das metas fiscais, conforme definido no art. 9º, § 4º, da Lei Complementar nº 101/2000, ocasião em que o Poder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Executivo demonstrará o comportamento das metas previstas nesta Lei.</w:t>
      </w:r>
    </w:p>
    <w:p w:rsidR="009200DF" w:rsidRPr="00E54A99" w:rsidRDefault="009200D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EA1382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Seção XIV</w:t>
      </w:r>
    </w:p>
    <w:p w:rsidR="00D87C54" w:rsidRPr="00E54A99" w:rsidRDefault="00D87C54" w:rsidP="00EA1382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Das Disposições Gerais</w:t>
      </w:r>
    </w:p>
    <w:p w:rsidR="009200DF" w:rsidRPr="00E54A99" w:rsidRDefault="009200D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EA1382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Art. 43. O Poder Executivo poderá, mediante decreto, transpor, remanejar, transferir ou utilizar, total ou parcialmente, as dotações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 xml:space="preserve">orçamentárias aprovadas na lei orçamentária de </w:t>
      </w:r>
      <w:r w:rsidRPr="00E54A99">
        <w:rPr>
          <w:color w:val="000000"/>
          <w:sz w:val="23"/>
          <w:szCs w:val="23"/>
        </w:rPr>
        <w:lastRenderedPageBreak/>
        <w:t>2010 e em seus créditos adicionais, em decorrência de extinção, transformação,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transferência, incorporação ou desmembramento de órgãos e entidades, bem como de alterações de suas competências ou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atribuições, mantida a estrutura programática, expressa por categoria de programação, conforme definida no art. 3º, desta Lei.</w:t>
      </w:r>
    </w:p>
    <w:p w:rsidR="009200DF" w:rsidRPr="00E54A99" w:rsidRDefault="009200DF" w:rsidP="00EA1382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§ 1º. As categorias de programação, aprovadas na lei orçamentária de 2010 e em seus créditos adicionais, poderão ser modificadas,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por meio de decreto, para atender às necessidades de execução, desde que verificada a inviabilidade técnica, operacional ou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econômica da execução do crédito, criando, quando necessário, novas naturezas de despesa.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§ 2º. As modificações a que se refere este artigo também poderão ocorrer quando da abertura de créditos suplementares autorizados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na lei orçamentária, os quais deverão ser abertos mediante decreto do Poder Executivo.</w:t>
      </w:r>
    </w:p>
    <w:p w:rsidR="009200DF" w:rsidRPr="00E54A99" w:rsidRDefault="009200D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EA1382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Art. 44. A abertura de créditos suplementares e especiais dependerá de prévia autorização legislativa e da existência de recursos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disponíveis para cobrir a despesa, nos termos da Lei nº 4.320/1964 e da Constituição da República.</w:t>
      </w:r>
    </w:p>
    <w:p w:rsidR="009200DF" w:rsidRPr="00E54A99" w:rsidRDefault="009200D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§ 1º. A lei orçamentária conterá autorização e disporá sobre o limite para a abertura de créditos adicionais suplementares.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§ 2º. Acompanharão os projetos de lei relativos a créditos adicionais exposições de motivos circunstanciadas que os justifiquem e que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indiquem as conseqüências dos cancelamentos de dotações propostos.</w:t>
      </w:r>
    </w:p>
    <w:p w:rsidR="009200DF" w:rsidRPr="00E54A99" w:rsidRDefault="009200D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EA1382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Art. 45. A reabertura dos créditos especiais e extraordinários, conforme disposto no art. 167, § 2º, da Constituição da República, será</w:t>
      </w:r>
      <w:r w:rsidR="009200DF" w:rsidRPr="00E54A99">
        <w:rPr>
          <w:color w:val="000000"/>
          <w:sz w:val="23"/>
          <w:szCs w:val="23"/>
        </w:rPr>
        <w:t xml:space="preserve"> </w:t>
      </w:r>
      <w:proofErr w:type="gramStart"/>
      <w:r w:rsidRPr="00E54A99">
        <w:rPr>
          <w:color w:val="000000"/>
          <w:sz w:val="23"/>
          <w:szCs w:val="23"/>
        </w:rPr>
        <w:t>efetivada</w:t>
      </w:r>
      <w:proofErr w:type="gramEnd"/>
      <w:r w:rsidRPr="00E54A99">
        <w:rPr>
          <w:color w:val="000000"/>
          <w:sz w:val="23"/>
          <w:szCs w:val="23"/>
        </w:rPr>
        <w:t xml:space="preserve"> mediante decreto do Prefeito Municipal, utilizando os recursos previstos no art. 43 da Lei nº 4.320/1964.</w:t>
      </w:r>
    </w:p>
    <w:p w:rsidR="009200DF" w:rsidRPr="00E54A99" w:rsidRDefault="009200DF" w:rsidP="00EA1382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D87C54" w:rsidRPr="00E54A99" w:rsidRDefault="00D87C54" w:rsidP="00EA1382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Art</w:t>
      </w:r>
      <w:r w:rsidR="00E54A99" w:rsidRPr="00E54A99">
        <w:rPr>
          <w:color w:val="000000"/>
          <w:sz w:val="23"/>
          <w:szCs w:val="23"/>
        </w:rPr>
        <w:t>.</w:t>
      </w:r>
      <w:r w:rsidRPr="00E54A99">
        <w:rPr>
          <w:color w:val="000000"/>
          <w:sz w:val="23"/>
          <w:szCs w:val="23"/>
        </w:rPr>
        <w:t xml:space="preserve"> 46. O Poder Executivo poderá encaminhar mensagem ao Poder Legislativo para propor modificações no projeto de lei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orçamentária anual, enquanto não iniciada a sua votação, no tocante as partes cuja alteração é proposta.</w:t>
      </w:r>
    </w:p>
    <w:p w:rsidR="009200DF" w:rsidRPr="00E54A99" w:rsidRDefault="009200DF" w:rsidP="00EA1382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</w:p>
    <w:p w:rsidR="00D87C54" w:rsidRPr="00E54A99" w:rsidRDefault="00D87C54" w:rsidP="00EA1382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Art. 47. Se o projeto de lei orçamentária de 2010 não for sancionado pelo Prefeito até 31 de dezembro de 2009, a programação dele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constante poderá ser executada para o atendimento das seguintes despesas:</w:t>
      </w:r>
    </w:p>
    <w:p w:rsidR="009200DF" w:rsidRPr="00E54A99" w:rsidRDefault="009200D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I – pessoal e encargos sociais;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II – benefícios previdenciários;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III – amortização, juros e encargos da dívida;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IV – PIS-PASEP;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V – demais despesas que constituem obrigações constitucionais ou legais do Município; e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VI – outras despesas correntes de caráter inadiável.</w:t>
      </w:r>
    </w:p>
    <w:p w:rsidR="009200DF" w:rsidRPr="00E54A99" w:rsidRDefault="009200D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§ 1º As despesas descritas no inciso VI deste artigo estão limitadas à 1/12 (um doze avos) do total de cada ação prevista no projeto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de lei orçamentária de 2010, multiplicado pelo número de meses decorridos até a sanção da respectiva lei.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§ 2º Na execução de outras despesas correntes de caráter inadiável, a que se refere o inciso VI do caput, o ordenador de despesa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 xml:space="preserve">poderá considerar os valores constantes do projeto de lei </w:t>
      </w:r>
      <w:r w:rsidRPr="00E54A99">
        <w:rPr>
          <w:color w:val="000000"/>
          <w:sz w:val="23"/>
          <w:szCs w:val="23"/>
        </w:rPr>
        <w:lastRenderedPageBreak/>
        <w:t>orçamentária de 2010 para fins do cumprimento do disposto no art. 16 da Lei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Complementar nº 101/2000.</w:t>
      </w:r>
    </w:p>
    <w:p w:rsidR="009200DF" w:rsidRPr="00E54A99" w:rsidRDefault="009200D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2A1383">
      <w:pPr>
        <w:autoSpaceDE w:val="0"/>
        <w:autoSpaceDN w:val="0"/>
        <w:adjustRightInd w:val="0"/>
        <w:ind w:firstLine="1134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Art. 48. Em atendimento ao disposto no art. 4º, §§ 1º, 2º e 3º da Lei Complementar nº 101/2000, integram a presente Lei os seguintes</w:t>
      </w:r>
      <w:r w:rsidR="009200DF" w:rsidRPr="00E54A99">
        <w:rPr>
          <w:color w:val="000000"/>
          <w:sz w:val="23"/>
          <w:szCs w:val="23"/>
        </w:rPr>
        <w:t xml:space="preserve"> </w:t>
      </w:r>
      <w:r w:rsidRPr="00E54A99">
        <w:rPr>
          <w:color w:val="000000"/>
          <w:sz w:val="23"/>
          <w:szCs w:val="23"/>
        </w:rPr>
        <w:t>anexos:</w:t>
      </w:r>
    </w:p>
    <w:p w:rsidR="009200DF" w:rsidRPr="00E54A99" w:rsidRDefault="009200D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I – Anexo de Metas Fiscais;</w:t>
      </w:r>
    </w:p>
    <w:p w:rsidR="00D87C54" w:rsidRPr="00E54A99" w:rsidRDefault="00D87C54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II – Anexo de Riscos Fiscais.</w:t>
      </w:r>
    </w:p>
    <w:p w:rsidR="009200DF" w:rsidRPr="00E54A99" w:rsidRDefault="009200DF" w:rsidP="00DD0FB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E64D5E" w:rsidRPr="00E54A99" w:rsidRDefault="00D87C54" w:rsidP="002A1383">
      <w:pPr>
        <w:ind w:firstLine="1134"/>
        <w:jc w:val="both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Art. 49. Esta Lei entra em vigor na data de sua publicação, revogando-se as disposições em contrário.</w:t>
      </w:r>
    </w:p>
    <w:p w:rsidR="00F01D3B" w:rsidRPr="00E54A99" w:rsidRDefault="00F01D3B" w:rsidP="00DD0FBF">
      <w:pPr>
        <w:jc w:val="both"/>
        <w:rPr>
          <w:color w:val="000000"/>
          <w:sz w:val="23"/>
          <w:szCs w:val="23"/>
        </w:rPr>
      </w:pPr>
    </w:p>
    <w:p w:rsidR="002A1383" w:rsidRPr="00E54A99" w:rsidRDefault="00F01D3B" w:rsidP="002A1383">
      <w:pPr>
        <w:pStyle w:val="Ttulo2"/>
        <w:ind w:firstLine="0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Moema/MG, 0</w:t>
      </w:r>
      <w:r w:rsidR="00E54A99">
        <w:rPr>
          <w:color w:val="000000"/>
          <w:sz w:val="23"/>
          <w:szCs w:val="23"/>
        </w:rPr>
        <w:t>8</w:t>
      </w:r>
      <w:r w:rsidR="00AE44EE">
        <w:rPr>
          <w:color w:val="000000"/>
          <w:sz w:val="23"/>
          <w:szCs w:val="23"/>
        </w:rPr>
        <w:t xml:space="preserve"> de jul</w:t>
      </w:r>
      <w:r w:rsidRPr="00E54A99">
        <w:rPr>
          <w:color w:val="000000"/>
          <w:sz w:val="23"/>
          <w:szCs w:val="23"/>
        </w:rPr>
        <w:t>ho de 2009.</w:t>
      </w:r>
    </w:p>
    <w:p w:rsidR="002A1383" w:rsidRPr="00E54A99" w:rsidRDefault="002A1383" w:rsidP="002A1383">
      <w:pPr>
        <w:pStyle w:val="Ttulo2"/>
        <w:ind w:firstLine="0"/>
        <w:rPr>
          <w:color w:val="000000"/>
          <w:sz w:val="23"/>
          <w:szCs w:val="23"/>
        </w:rPr>
      </w:pPr>
    </w:p>
    <w:p w:rsidR="002A1383" w:rsidRPr="00E54A99" w:rsidRDefault="002A1383" w:rsidP="002A1383">
      <w:pPr>
        <w:pStyle w:val="Ttulo2"/>
        <w:ind w:firstLine="0"/>
        <w:rPr>
          <w:color w:val="000000"/>
          <w:sz w:val="23"/>
          <w:szCs w:val="23"/>
        </w:rPr>
      </w:pPr>
    </w:p>
    <w:p w:rsidR="002A1383" w:rsidRPr="00E54A99" w:rsidRDefault="002A1383" w:rsidP="002A1383">
      <w:pPr>
        <w:pStyle w:val="Ttulo2"/>
        <w:ind w:firstLine="0"/>
        <w:rPr>
          <w:color w:val="000000"/>
          <w:sz w:val="23"/>
          <w:szCs w:val="23"/>
        </w:rPr>
      </w:pPr>
    </w:p>
    <w:p w:rsidR="00F01D3B" w:rsidRPr="00E54A99" w:rsidRDefault="002A1383" w:rsidP="002A1383">
      <w:pPr>
        <w:pStyle w:val="Ttulo2"/>
        <w:ind w:firstLine="0"/>
        <w:rPr>
          <w:color w:val="000000"/>
          <w:sz w:val="23"/>
          <w:szCs w:val="23"/>
        </w:rPr>
      </w:pPr>
      <w:r w:rsidRPr="00E54A99">
        <w:rPr>
          <w:color w:val="000000"/>
          <w:sz w:val="23"/>
          <w:szCs w:val="23"/>
        </w:rPr>
        <w:t>M</w:t>
      </w:r>
      <w:r w:rsidR="00F01D3B" w:rsidRPr="00E54A99">
        <w:rPr>
          <w:bCs/>
          <w:i/>
          <w:color w:val="000000"/>
          <w:sz w:val="23"/>
          <w:szCs w:val="23"/>
        </w:rPr>
        <w:t>arcelo Ferreira Mesquita</w:t>
      </w:r>
    </w:p>
    <w:p w:rsidR="00F01D3B" w:rsidRPr="00E54A99" w:rsidRDefault="00F01D3B" w:rsidP="00F01D3B">
      <w:pPr>
        <w:jc w:val="center"/>
        <w:rPr>
          <w:i/>
          <w:color w:val="000000"/>
          <w:sz w:val="23"/>
          <w:szCs w:val="23"/>
        </w:rPr>
      </w:pPr>
      <w:r w:rsidRPr="00E54A99">
        <w:rPr>
          <w:i/>
          <w:color w:val="000000"/>
          <w:sz w:val="23"/>
          <w:szCs w:val="23"/>
        </w:rPr>
        <w:t>Prefeito Municipal</w:t>
      </w:r>
    </w:p>
    <w:sectPr w:rsidR="00F01D3B" w:rsidRPr="00E54A99" w:rsidSect="005B11D7">
      <w:pgSz w:w="11907" w:h="16840" w:code="9"/>
      <w:pgMar w:top="2835" w:right="1134" w:bottom="1134" w:left="1701" w:header="964" w:footer="1021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/>
  <w:rsids>
    <w:rsidRoot w:val="00D87C54"/>
    <w:rsid w:val="002A1383"/>
    <w:rsid w:val="003079C1"/>
    <w:rsid w:val="003336F2"/>
    <w:rsid w:val="00580E49"/>
    <w:rsid w:val="005B11D7"/>
    <w:rsid w:val="006B5ACF"/>
    <w:rsid w:val="009200DF"/>
    <w:rsid w:val="00941C8E"/>
    <w:rsid w:val="00A93683"/>
    <w:rsid w:val="00AE44EE"/>
    <w:rsid w:val="00C6395D"/>
    <w:rsid w:val="00D87C54"/>
    <w:rsid w:val="00DD0FBF"/>
    <w:rsid w:val="00E54A99"/>
    <w:rsid w:val="00E64D5E"/>
    <w:rsid w:val="00EA1382"/>
    <w:rsid w:val="00EC6888"/>
    <w:rsid w:val="00F0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D5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D87C54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D87C54"/>
    <w:pPr>
      <w:keepNext/>
      <w:ind w:firstLine="1134"/>
      <w:jc w:val="center"/>
      <w:outlineLvl w:val="1"/>
    </w:p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01D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7C54"/>
    <w:rPr>
      <w:sz w:val="28"/>
    </w:rPr>
  </w:style>
  <w:style w:type="character" w:customStyle="1" w:styleId="Ttulo2Char">
    <w:name w:val="Título 2 Char"/>
    <w:basedOn w:val="Fontepargpadro"/>
    <w:link w:val="Ttulo2"/>
    <w:rsid w:val="00D87C54"/>
    <w:rPr>
      <w:sz w:val="24"/>
    </w:rPr>
  </w:style>
  <w:style w:type="paragraph" w:styleId="Recuodecorpodetexto">
    <w:name w:val="Body Text Indent"/>
    <w:basedOn w:val="Normal"/>
    <w:link w:val="RecuodecorpodetextoChar"/>
    <w:rsid w:val="00D87C54"/>
    <w:pPr>
      <w:ind w:firstLine="1134"/>
      <w:jc w:val="both"/>
    </w:pPr>
    <w:rPr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87C54"/>
    <w:rPr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01D3B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20E93-2B8F-45E1-AB8E-85B344CF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4689</Words>
  <Characters>25324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Moema/MG</Company>
  <LinksUpToDate>false</LinksUpToDate>
  <CharactersWithSpaces>29954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Recursos Humanos</dc:creator>
  <cp:keywords/>
  <dc:description/>
  <cp:lastModifiedBy>Departamento de Recursos Humanos</cp:lastModifiedBy>
  <cp:revision>7</cp:revision>
  <dcterms:created xsi:type="dcterms:W3CDTF">2009-07-10T19:08:00Z</dcterms:created>
  <dcterms:modified xsi:type="dcterms:W3CDTF">2009-08-26T16:19:00Z</dcterms:modified>
</cp:coreProperties>
</file>