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D9" w:rsidRPr="00B40C21" w:rsidRDefault="008A03E0" w:rsidP="008A03E0">
      <w:pPr>
        <w:jc w:val="center"/>
        <w:rPr>
          <w:b/>
          <w:sz w:val="24"/>
          <w:szCs w:val="24"/>
        </w:rPr>
      </w:pPr>
      <w:r>
        <w:rPr>
          <w:b/>
          <w:sz w:val="30"/>
          <w:szCs w:val="30"/>
        </w:rPr>
        <w:t>LEI Nº 1735</w:t>
      </w:r>
      <w:r w:rsidRPr="008A03E0">
        <w:rPr>
          <w:b/>
          <w:sz w:val="30"/>
          <w:szCs w:val="30"/>
        </w:rPr>
        <w:t>-2022</w:t>
      </w:r>
    </w:p>
    <w:p w:rsidR="009D46D9" w:rsidRPr="00B40C21" w:rsidRDefault="009D46D9" w:rsidP="009D46D9">
      <w:pPr>
        <w:jc w:val="both"/>
        <w:rPr>
          <w:b/>
          <w:sz w:val="24"/>
          <w:szCs w:val="24"/>
        </w:rPr>
      </w:pPr>
    </w:p>
    <w:p w:rsidR="009D46D9" w:rsidRPr="00DA3A21" w:rsidRDefault="009D46D9" w:rsidP="007950EC">
      <w:pPr>
        <w:ind w:left="4111"/>
        <w:jc w:val="both"/>
        <w:rPr>
          <w:b/>
          <w:sz w:val="24"/>
          <w:szCs w:val="24"/>
        </w:rPr>
      </w:pPr>
      <w:r w:rsidRPr="00B40C21">
        <w:rPr>
          <w:b/>
          <w:sz w:val="24"/>
          <w:szCs w:val="24"/>
        </w:rPr>
        <w:t xml:space="preserve">“AUTORIZA A CONCESSÃO DE </w:t>
      </w:r>
      <w:r w:rsidR="005F51D9">
        <w:rPr>
          <w:b/>
          <w:sz w:val="24"/>
          <w:szCs w:val="24"/>
        </w:rPr>
        <w:t>SUBVENÇÃ</w:t>
      </w:r>
      <w:r>
        <w:rPr>
          <w:b/>
          <w:sz w:val="24"/>
          <w:szCs w:val="24"/>
        </w:rPr>
        <w:t>O</w:t>
      </w:r>
      <w:r w:rsidRPr="00B40C21">
        <w:rPr>
          <w:b/>
          <w:sz w:val="24"/>
          <w:szCs w:val="24"/>
        </w:rPr>
        <w:t xml:space="preserve"> </w:t>
      </w:r>
      <w:r w:rsidR="009557C0">
        <w:rPr>
          <w:b/>
          <w:sz w:val="24"/>
          <w:szCs w:val="24"/>
        </w:rPr>
        <w:t>SOCIAL E DÁ OUTRAS PROVIDÊNCIAS</w:t>
      </w:r>
      <w:r w:rsidRPr="00B40C21">
        <w:rPr>
          <w:b/>
          <w:sz w:val="24"/>
          <w:szCs w:val="24"/>
        </w:rPr>
        <w:t>”</w:t>
      </w:r>
    </w:p>
    <w:p w:rsidR="009D46D9" w:rsidRPr="006F4C43" w:rsidRDefault="009D46D9" w:rsidP="009D46D9">
      <w:pPr>
        <w:rPr>
          <w:b/>
          <w:sz w:val="24"/>
          <w:szCs w:val="24"/>
        </w:rPr>
      </w:pPr>
    </w:p>
    <w:p w:rsidR="009E0FA5" w:rsidRDefault="009E0FA5" w:rsidP="009E0FA5">
      <w:pPr>
        <w:ind w:firstLine="1134"/>
        <w:jc w:val="both"/>
        <w:rPr>
          <w:sz w:val="24"/>
        </w:rPr>
      </w:pPr>
      <w:r w:rsidRPr="002D7E9B">
        <w:rPr>
          <w:sz w:val="24"/>
        </w:rPr>
        <w:t>A Câmara Municipal de Moema – MG, no uso de suas atribuições legais, aprovou e eu, Prefeito Municipal Sanciono a seguinte Lei;</w:t>
      </w:r>
    </w:p>
    <w:p w:rsidR="009E0FA5" w:rsidRPr="002D7E9B" w:rsidRDefault="009E0FA5" w:rsidP="009E0FA5">
      <w:pPr>
        <w:ind w:firstLine="1134"/>
        <w:jc w:val="both"/>
        <w:rPr>
          <w:sz w:val="24"/>
        </w:rPr>
      </w:pPr>
    </w:p>
    <w:p w:rsidR="009D46D9" w:rsidRDefault="009D46D9" w:rsidP="009D46D9">
      <w:pPr>
        <w:ind w:firstLine="851"/>
        <w:jc w:val="both"/>
        <w:rPr>
          <w:sz w:val="24"/>
          <w:szCs w:val="24"/>
        </w:rPr>
      </w:pPr>
      <w:r w:rsidRPr="00B40C21">
        <w:rPr>
          <w:b/>
          <w:sz w:val="24"/>
          <w:szCs w:val="24"/>
        </w:rPr>
        <w:t>Art. 1º</w:t>
      </w:r>
      <w:r w:rsidRPr="00B40C21">
        <w:rPr>
          <w:sz w:val="24"/>
          <w:szCs w:val="24"/>
        </w:rPr>
        <w:t xml:space="preserve"> - Fica o Poder Executivo Municipal autorizado a conceder, </w:t>
      </w:r>
      <w:r>
        <w:rPr>
          <w:sz w:val="24"/>
          <w:szCs w:val="24"/>
        </w:rPr>
        <w:t>Subvenção Social</w:t>
      </w:r>
      <w:r w:rsidRPr="00B40C21">
        <w:rPr>
          <w:sz w:val="24"/>
          <w:szCs w:val="24"/>
        </w:rPr>
        <w:t>, com base nas consignações orçamentárias e respectivos créditos adicionais até o montante de R$</w:t>
      </w:r>
      <w:r>
        <w:rPr>
          <w:sz w:val="24"/>
          <w:szCs w:val="24"/>
        </w:rPr>
        <w:t>5.000,00</w:t>
      </w:r>
      <w:r w:rsidRPr="00B40C21">
        <w:rPr>
          <w:sz w:val="24"/>
          <w:szCs w:val="24"/>
        </w:rPr>
        <w:t xml:space="preserve"> (</w:t>
      </w:r>
      <w:r>
        <w:rPr>
          <w:sz w:val="24"/>
          <w:szCs w:val="24"/>
        </w:rPr>
        <w:t>cinco mil reais</w:t>
      </w:r>
      <w:r w:rsidRPr="00B40C21">
        <w:rPr>
          <w:sz w:val="24"/>
          <w:szCs w:val="24"/>
        </w:rPr>
        <w:t>), a seguinte instituição:</w:t>
      </w:r>
    </w:p>
    <w:p w:rsidR="009D46D9" w:rsidRPr="00B40C21" w:rsidRDefault="009D46D9" w:rsidP="009D46D9">
      <w:pPr>
        <w:ind w:firstLine="1134"/>
        <w:jc w:val="both"/>
        <w:rPr>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634"/>
      </w:tblGrid>
      <w:tr w:rsidR="009D46D9" w:rsidRPr="00B40C21" w:rsidTr="000B104A">
        <w:trPr>
          <w:trHeight w:val="70"/>
          <w:jc w:val="center"/>
        </w:trPr>
        <w:tc>
          <w:tcPr>
            <w:tcW w:w="9464" w:type="dxa"/>
            <w:gridSpan w:val="2"/>
            <w:vAlign w:val="center"/>
          </w:tcPr>
          <w:p w:rsidR="009D46D9" w:rsidRPr="00B40C21" w:rsidRDefault="009D46D9" w:rsidP="000B104A">
            <w:pPr>
              <w:jc w:val="center"/>
              <w:rPr>
                <w:b/>
                <w:sz w:val="24"/>
                <w:szCs w:val="24"/>
              </w:rPr>
            </w:pPr>
            <w:r>
              <w:rPr>
                <w:b/>
                <w:sz w:val="24"/>
                <w:szCs w:val="24"/>
              </w:rPr>
              <w:t>CONSEP – BOM DESPACHO</w:t>
            </w:r>
          </w:p>
        </w:tc>
      </w:tr>
      <w:tr w:rsidR="009D46D9" w:rsidRPr="00B40C21" w:rsidTr="000B104A">
        <w:trPr>
          <w:jc w:val="center"/>
        </w:trPr>
        <w:tc>
          <w:tcPr>
            <w:tcW w:w="2830" w:type="dxa"/>
            <w:vAlign w:val="center"/>
          </w:tcPr>
          <w:p w:rsidR="009D46D9" w:rsidRPr="00B40C21" w:rsidRDefault="009D46D9" w:rsidP="000B104A">
            <w:pPr>
              <w:jc w:val="center"/>
              <w:rPr>
                <w:b/>
                <w:sz w:val="24"/>
                <w:szCs w:val="24"/>
              </w:rPr>
            </w:pPr>
            <w:r w:rsidRPr="00B40C21">
              <w:rPr>
                <w:b/>
                <w:sz w:val="24"/>
                <w:szCs w:val="24"/>
              </w:rPr>
              <w:t>Finalidade da Instituição</w:t>
            </w:r>
          </w:p>
        </w:tc>
        <w:tc>
          <w:tcPr>
            <w:tcW w:w="6634" w:type="dxa"/>
            <w:vAlign w:val="center"/>
          </w:tcPr>
          <w:p w:rsidR="009D46D9" w:rsidRDefault="007950EC" w:rsidP="009D46D9">
            <w:pPr>
              <w:jc w:val="both"/>
              <w:rPr>
                <w:sz w:val="24"/>
                <w:szCs w:val="24"/>
                <w:shd w:val="clear" w:color="auto" w:fill="FFFFFF"/>
              </w:rPr>
            </w:pPr>
            <w:proofErr w:type="gramStart"/>
            <w:r>
              <w:rPr>
                <w:sz w:val="24"/>
                <w:szCs w:val="24"/>
                <w:shd w:val="clear" w:color="auto" w:fill="FFFFFF"/>
              </w:rPr>
              <w:t xml:space="preserve">a) </w:t>
            </w:r>
            <w:r w:rsidR="009D46D9" w:rsidRPr="002D214E">
              <w:rPr>
                <w:sz w:val="24"/>
                <w:szCs w:val="24"/>
                <w:shd w:val="clear" w:color="auto" w:fill="FFFFFF"/>
              </w:rPr>
              <w:t>Congregar</w:t>
            </w:r>
            <w:proofErr w:type="gramEnd"/>
            <w:r w:rsidR="009D46D9" w:rsidRPr="002D214E">
              <w:rPr>
                <w:sz w:val="24"/>
                <w:szCs w:val="24"/>
                <w:shd w:val="clear" w:color="auto" w:fill="FFFFFF"/>
              </w:rPr>
              <w:t xml:space="preserve"> as lideranças comunitárias, as autoridades policiais e as de outros órgãos públicos direta ou indiretamente ligados à segurança pública, para a discussão e adoção de medidas práticas que resultem na melhoria da qualidade de vida das comunidades, especialmente aquelas que apresentem maior exposição a fatores de risco que interfiram na dignidade humana.</w:t>
            </w:r>
          </w:p>
          <w:p w:rsidR="009D46D9" w:rsidRDefault="009D46D9" w:rsidP="009D46D9">
            <w:pPr>
              <w:jc w:val="both"/>
              <w:rPr>
                <w:sz w:val="24"/>
                <w:szCs w:val="24"/>
                <w:shd w:val="clear" w:color="auto" w:fill="FFFFFF"/>
              </w:rPr>
            </w:pPr>
            <w:bookmarkStart w:id="0" w:name="_GoBack"/>
            <w:bookmarkEnd w:id="0"/>
          </w:p>
          <w:p w:rsidR="009D46D9" w:rsidRPr="002D214E" w:rsidRDefault="009D46D9" w:rsidP="009D46D9">
            <w:pPr>
              <w:jc w:val="both"/>
              <w:rPr>
                <w:sz w:val="24"/>
                <w:szCs w:val="24"/>
              </w:rPr>
            </w:pPr>
            <w:r>
              <w:rPr>
                <w:sz w:val="24"/>
                <w:szCs w:val="24"/>
                <w:shd w:val="clear" w:color="auto" w:fill="FFFFFF"/>
              </w:rPr>
              <w:t>b) Contribuir para a melhoria da segurança interna da Unidade Prisional do Município de Bom Despacho, bem como da população em geral e proporcional aos detentos em condições mais humanizadas</w:t>
            </w:r>
          </w:p>
        </w:tc>
      </w:tr>
      <w:tr w:rsidR="009D46D9" w:rsidRPr="00B40C21" w:rsidTr="000B104A">
        <w:trPr>
          <w:jc w:val="center"/>
        </w:trPr>
        <w:tc>
          <w:tcPr>
            <w:tcW w:w="2830" w:type="dxa"/>
            <w:vAlign w:val="center"/>
          </w:tcPr>
          <w:p w:rsidR="009D46D9" w:rsidRPr="00B40C21" w:rsidRDefault="009D46D9" w:rsidP="000B104A">
            <w:pPr>
              <w:rPr>
                <w:b/>
                <w:sz w:val="24"/>
                <w:szCs w:val="24"/>
              </w:rPr>
            </w:pPr>
            <w:r w:rsidRPr="00B40C21">
              <w:rPr>
                <w:b/>
                <w:sz w:val="24"/>
                <w:szCs w:val="24"/>
              </w:rPr>
              <w:t>Forma de Transferência</w:t>
            </w:r>
          </w:p>
        </w:tc>
        <w:tc>
          <w:tcPr>
            <w:tcW w:w="6634" w:type="dxa"/>
            <w:vAlign w:val="center"/>
          </w:tcPr>
          <w:p w:rsidR="009D46D9" w:rsidRPr="00B40C21" w:rsidRDefault="009D46D9" w:rsidP="000B104A">
            <w:pPr>
              <w:rPr>
                <w:b/>
                <w:sz w:val="24"/>
                <w:szCs w:val="24"/>
              </w:rPr>
            </w:pPr>
            <w:r w:rsidRPr="00B40C21">
              <w:rPr>
                <w:b/>
                <w:sz w:val="24"/>
                <w:szCs w:val="24"/>
              </w:rPr>
              <w:t>SUBVENÇÃO SOCIAL</w:t>
            </w:r>
          </w:p>
        </w:tc>
      </w:tr>
      <w:tr w:rsidR="009D46D9" w:rsidRPr="00B40C21" w:rsidTr="000B104A">
        <w:trPr>
          <w:jc w:val="center"/>
        </w:trPr>
        <w:tc>
          <w:tcPr>
            <w:tcW w:w="2830" w:type="dxa"/>
            <w:vAlign w:val="center"/>
          </w:tcPr>
          <w:p w:rsidR="009D46D9" w:rsidRPr="00B40C21" w:rsidRDefault="009D46D9" w:rsidP="000B104A">
            <w:pPr>
              <w:rPr>
                <w:b/>
                <w:sz w:val="24"/>
                <w:szCs w:val="24"/>
              </w:rPr>
            </w:pPr>
            <w:r w:rsidRPr="00B40C21">
              <w:rPr>
                <w:b/>
                <w:sz w:val="24"/>
                <w:szCs w:val="24"/>
              </w:rPr>
              <w:t>Dotação Orçamentária</w:t>
            </w:r>
          </w:p>
        </w:tc>
        <w:tc>
          <w:tcPr>
            <w:tcW w:w="6634" w:type="dxa"/>
            <w:vAlign w:val="center"/>
          </w:tcPr>
          <w:p w:rsidR="009D46D9" w:rsidRPr="00B40C21" w:rsidRDefault="009D46D9" w:rsidP="001F7E83">
            <w:pPr>
              <w:rPr>
                <w:sz w:val="24"/>
                <w:szCs w:val="24"/>
              </w:rPr>
            </w:pPr>
            <w:r>
              <w:rPr>
                <w:sz w:val="24"/>
                <w:szCs w:val="24"/>
              </w:rPr>
              <w:t>02</w:t>
            </w:r>
            <w:r w:rsidR="00DA3A21">
              <w:rPr>
                <w:sz w:val="24"/>
                <w:szCs w:val="24"/>
              </w:rPr>
              <w:t xml:space="preserve"> 02 02</w:t>
            </w:r>
            <w:r>
              <w:rPr>
                <w:sz w:val="24"/>
                <w:szCs w:val="24"/>
              </w:rPr>
              <w:t xml:space="preserve"> </w:t>
            </w:r>
            <w:r w:rsidR="001F7E83">
              <w:rPr>
                <w:sz w:val="24"/>
                <w:szCs w:val="24"/>
              </w:rPr>
              <w:t>04 122 0001 0.007 33 50 43</w:t>
            </w:r>
          </w:p>
        </w:tc>
      </w:tr>
      <w:tr w:rsidR="009D46D9" w:rsidRPr="00B40C21" w:rsidTr="000B104A">
        <w:trPr>
          <w:jc w:val="center"/>
        </w:trPr>
        <w:tc>
          <w:tcPr>
            <w:tcW w:w="2830" w:type="dxa"/>
            <w:vAlign w:val="center"/>
          </w:tcPr>
          <w:p w:rsidR="009D46D9" w:rsidRPr="00B40C21" w:rsidRDefault="009D46D9" w:rsidP="000B104A">
            <w:pPr>
              <w:rPr>
                <w:b/>
                <w:sz w:val="24"/>
                <w:szCs w:val="24"/>
              </w:rPr>
            </w:pPr>
            <w:r w:rsidRPr="00B40C21">
              <w:rPr>
                <w:b/>
                <w:sz w:val="24"/>
                <w:szCs w:val="24"/>
              </w:rPr>
              <w:t>Valor da Transferência</w:t>
            </w:r>
          </w:p>
        </w:tc>
        <w:tc>
          <w:tcPr>
            <w:tcW w:w="6634" w:type="dxa"/>
            <w:vAlign w:val="center"/>
          </w:tcPr>
          <w:p w:rsidR="009D46D9" w:rsidRPr="00B40C21" w:rsidRDefault="001F7E83" w:rsidP="000B104A">
            <w:pPr>
              <w:rPr>
                <w:sz w:val="24"/>
                <w:szCs w:val="24"/>
              </w:rPr>
            </w:pPr>
            <w:r>
              <w:rPr>
                <w:sz w:val="24"/>
                <w:szCs w:val="24"/>
              </w:rPr>
              <w:t>R$ 5</w:t>
            </w:r>
            <w:r w:rsidR="009D46D9">
              <w:rPr>
                <w:sz w:val="24"/>
                <w:szCs w:val="24"/>
              </w:rPr>
              <w:t>.000,00</w:t>
            </w:r>
          </w:p>
        </w:tc>
      </w:tr>
    </w:tbl>
    <w:p w:rsidR="009D46D9" w:rsidRPr="00B40C21" w:rsidRDefault="009D46D9" w:rsidP="009D46D9">
      <w:pPr>
        <w:jc w:val="both"/>
        <w:rPr>
          <w:sz w:val="24"/>
          <w:szCs w:val="24"/>
        </w:rPr>
      </w:pPr>
    </w:p>
    <w:p w:rsidR="009D46D9" w:rsidRPr="00B40C21" w:rsidRDefault="009D46D9" w:rsidP="009D46D9">
      <w:pPr>
        <w:ind w:firstLine="1134"/>
        <w:jc w:val="both"/>
        <w:rPr>
          <w:sz w:val="24"/>
          <w:szCs w:val="24"/>
        </w:rPr>
      </w:pPr>
      <w:r w:rsidRPr="00B40C21">
        <w:rPr>
          <w:b/>
          <w:sz w:val="24"/>
          <w:szCs w:val="24"/>
        </w:rPr>
        <w:t>Parágrafo Único</w:t>
      </w:r>
      <w:r w:rsidRPr="00B40C21">
        <w:rPr>
          <w:sz w:val="24"/>
          <w:szCs w:val="24"/>
        </w:rPr>
        <w:t xml:space="preserve"> – As transferências de recursos do Município, consignadas na lei orçamentária anual, para entidades privadas ou públicas, serão realizadas exclusivamente mediante assinatura de convênio, acordo, ajuste ou outros instrumentos congêneres, na forma da legislação vigente.</w:t>
      </w:r>
    </w:p>
    <w:p w:rsidR="009D46D9" w:rsidRPr="00B40C21" w:rsidRDefault="009D46D9" w:rsidP="009D46D9">
      <w:pPr>
        <w:jc w:val="both"/>
        <w:rPr>
          <w:b/>
          <w:sz w:val="24"/>
          <w:szCs w:val="24"/>
        </w:rPr>
      </w:pPr>
    </w:p>
    <w:p w:rsidR="009D46D9" w:rsidRPr="00B40C21" w:rsidRDefault="009D46D9" w:rsidP="009D46D9">
      <w:pPr>
        <w:ind w:firstLine="708"/>
        <w:jc w:val="both"/>
        <w:rPr>
          <w:sz w:val="24"/>
          <w:szCs w:val="24"/>
        </w:rPr>
      </w:pPr>
      <w:r>
        <w:rPr>
          <w:b/>
          <w:sz w:val="24"/>
          <w:szCs w:val="24"/>
        </w:rPr>
        <w:t>Art. 3</w:t>
      </w:r>
      <w:r w:rsidRPr="00B40C21">
        <w:rPr>
          <w:b/>
          <w:sz w:val="24"/>
          <w:szCs w:val="24"/>
        </w:rPr>
        <w:t>º</w:t>
      </w:r>
      <w:r w:rsidRPr="00B40C21">
        <w:rPr>
          <w:sz w:val="24"/>
          <w:szCs w:val="24"/>
        </w:rPr>
        <w:t xml:space="preserve"> - Esta Lei entra em vigor na data de sua publicação.</w:t>
      </w:r>
    </w:p>
    <w:p w:rsidR="009D46D9" w:rsidRPr="00B40C21" w:rsidRDefault="009D46D9" w:rsidP="009D46D9">
      <w:pPr>
        <w:jc w:val="both"/>
        <w:rPr>
          <w:sz w:val="24"/>
          <w:szCs w:val="24"/>
        </w:rPr>
      </w:pPr>
    </w:p>
    <w:p w:rsidR="009D46D9" w:rsidRPr="00B40C21" w:rsidRDefault="009D46D9" w:rsidP="009D46D9">
      <w:pPr>
        <w:ind w:firstLine="708"/>
        <w:jc w:val="both"/>
        <w:rPr>
          <w:sz w:val="24"/>
          <w:szCs w:val="24"/>
        </w:rPr>
      </w:pPr>
      <w:r>
        <w:rPr>
          <w:b/>
          <w:sz w:val="24"/>
          <w:szCs w:val="24"/>
        </w:rPr>
        <w:t>Art. 4</w:t>
      </w:r>
      <w:r w:rsidRPr="00B40C21">
        <w:rPr>
          <w:b/>
          <w:sz w:val="24"/>
          <w:szCs w:val="24"/>
        </w:rPr>
        <w:t>º</w:t>
      </w:r>
      <w:r w:rsidRPr="00B40C21">
        <w:rPr>
          <w:sz w:val="24"/>
          <w:szCs w:val="24"/>
        </w:rPr>
        <w:t xml:space="preserve"> - Revogam-se as disposições em contrário.</w:t>
      </w:r>
    </w:p>
    <w:p w:rsidR="009D46D9" w:rsidRPr="00B40C21" w:rsidRDefault="009D46D9" w:rsidP="009D46D9">
      <w:pPr>
        <w:ind w:firstLine="708"/>
        <w:jc w:val="both"/>
        <w:rPr>
          <w:sz w:val="24"/>
          <w:szCs w:val="24"/>
        </w:rPr>
      </w:pPr>
      <w:r w:rsidRPr="00B40C21">
        <w:rPr>
          <w:sz w:val="24"/>
          <w:szCs w:val="24"/>
        </w:rPr>
        <w:tab/>
      </w:r>
    </w:p>
    <w:p w:rsidR="009D46D9" w:rsidRPr="00B40C21" w:rsidRDefault="009D46D9" w:rsidP="009D46D9">
      <w:pPr>
        <w:jc w:val="center"/>
        <w:rPr>
          <w:sz w:val="24"/>
          <w:szCs w:val="24"/>
        </w:rPr>
      </w:pPr>
      <w:r w:rsidRPr="00B40C21">
        <w:rPr>
          <w:sz w:val="24"/>
          <w:szCs w:val="24"/>
        </w:rPr>
        <w:t>Moema</w:t>
      </w:r>
      <w:r>
        <w:rPr>
          <w:sz w:val="24"/>
          <w:szCs w:val="24"/>
        </w:rPr>
        <w:t>/MG</w:t>
      </w:r>
      <w:r w:rsidRPr="00B40C21">
        <w:rPr>
          <w:sz w:val="24"/>
          <w:szCs w:val="24"/>
        </w:rPr>
        <w:t xml:space="preserve">, </w:t>
      </w:r>
      <w:r w:rsidR="008A03E0">
        <w:rPr>
          <w:sz w:val="24"/>
          <w:szCs w:val="24"/>
        </w:rPr>
        <w:t>21</w:t>
      </w:r>
      <w:r w:rsidR="001F7E83">
        <w:rPr>
          <w:sz w:val="24"/>
          <w:szCs w:val="24"/>
        </w:rPr>
        <w:t xml:space="preserve"> de </w:t>
      </w:r>
      <w:r w:rsidR="008A03E0">
        <w:rPr>
          <w:sz w:val="24"/>
          <w:szCs w:val="24"/>
        </w:rPr>
        <w:t>junho</w:t>
      </w:r>
      <w:r w:rsidR="001F7E83">
        <w:rPr>
          <w:sz w:val="24"/>
          <w:szCs w:val="24"/>
        </w:rPr>
        <w:t xml:space="preserve"> de 2022.</w:t>
      </w:r>
    </w:p>
    <w:p w:rsidR="009D46D9" w:rsidRDefault="009D46D9" w:rsidP="009D46D9">
      <w:pPr>
        <w:jc w:val="center"/>
        <w:rPr>
          <w:sz w:val="24"/>
          <w:szCs w:val="24"/>
        </w:rPr>
      </w:pPr>
    </w:p>
    <w:p w:rsidR="00DA3A21" w:rsidRDefault="00DA3A21" w:rsidP="009D46D9">
      <w:pPr>
        <w:jc w:val="center"/>
        <w:rPr>
          <w:sz w:val="24"/>
          <w:szCs w:val="24"/>
        </w:rPr>
      </w:pPr>
    </w:p>
    <w:p w:rsidR="008A03E0" w:rsidRDefault="008A03E0" w:rsidP="009D46D9">
      <w:pPr>
        <w:jc w:val="center"/>
        <w:rPr>
          <w:sz w:val="24"/>
          <w:szCs w:val="24"/>
        </w:rPr>
      </w:pPr>
    </w:p>
    <w:p w:rsidR="00DA3A21" w:rsidRPr="00B40C21" w:rsidRDefault="00DA3A21" w:rsidP="009E0FA5">
      <w:pPr>
        <w:rPr>
          <w:sz w:val="24"/>
          <w:szCs w:val="24"/>
        </w:rPr>
      </w:pPr>
    </w:p>
    <w:p w:rsidR="009D46D9" w:rsidRPr="00B40C21" w:rsidRDefault="009D46D9" w:rsidP="009D46D9">
      <w:pPr>
        <w:jc w:val="center"/>
        <w:rPr>
          <w:i/>
          <w:sz w:val="24"/>
          <w:szCs w:val="24"/>
        </w:rPr>
      </w:pPr>
      <w:r>
        <w:rPr>
          <w:i/>
          <w:sz w:val="24"/>
          <w:szCs w:val="24"/>
        </w:rPr>
        <w:t xml:space="preserve">Alaelson </w:t>
      </w:r>
      <w:proofErr w:type="spellStart"/>
      <w:r>
        <w:rPr>
          <w:i/>
          <w:sz w:val="24"/>
          <w:szCs w:val="24"/>
        </w:rPr>
        <w:t>Antonio</w:t>
      </w:r>
      <w:proofErr w:type="spellEnd"/>
      <w:r>
        <w:rPr>
          <w:i/>
          <w:sz w:val="24"/>
          <w:szCs w:val="24"/>
        </w:rPr>
        <w:t xml:space="preserve"> de Oliveira</w:t>
      </w:r>
    </w:p>
    <w:p w:rsidR="0016581A" w:rsidRDefault="009D46D9" w:rsidP="009E0FA5">
      <w:pPr>
        <w:jc w:val="center"/>
        <w:rPr>
          <w:i/>
          <w:sz w:val="24"/>
          <w:szCs w:val="24"/>
        </w:rPr>
      </w:pPr>
      <w:r w:rsidRPr="00B40C21">
        <w:rPr>
          <w:i/>
          <w:sz w:val="24"/>
          <w:szCs w:val="24"/>
        </w:rPr>
        <w:t>Prefeito Municipal</w:t>
      </w:r>
    </w:p>
    <w:p w:rsidR="0016581A" w:rsidRDefault="0016581A" w:rsidP="001F7E83">
      <w:pPr>
        <w:jc w:val="center"/>
        <w:rPr>
          <w:i/>
          <w:sz w:val="24"/>
          <w:szCs w:val="24"/>
        </w:rPr>
      </w:pPr>
    </w:p>
    <w:sectPr w:rsidR="0016581A" w:rsidSect="00DA3A21">
      <w:pgSz w:w="11907" w:h="16839" w:code="9"/>
      <w:pgMar w:top="3119" w:right="1134"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D9"/>
    <w:rsid w:val="0016581A"/>
    <w:rsid w:val="001F7E83"/>
    <w:rsid w:val="005A767C"/>
    <w:rsid w:val="005F51D9"/>
    <w:rsid w:val="006C3BFF"/>
    <w:rsid w:val="007950EC"/>
    <w:rsid w:val="008A03E0"/>
    <w:rsid w:val="009557C0"/>
    <w:rsid w:val="009D46D9"/>
    <w:rsid w:val="009E0FA5"/>
    <w:rsid w:val="00A04B5E"/>
    <w:rsid w:val="00B55B8C"/>
    <w:rsid w:val="00D425A2"/>
    <w:rsid w:val="00DA3A21"/>
    <w:rsid w:val="00E5637E"/>
    <w:rsid w:val="00EA22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DA7E"/>
  <w15:chartTrackingRefBased/>
  <w15:docId w15:val="{B1EC48D7-A620-4550-9205-F7D66AB1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D9"/>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9D46D9"/>
    <w:pPr>
      <w:keepNext/>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46D9"/>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9D46D9"/>
    <w:pPr>
      <w:ind w:left="720"/>
      <w:contextualSpacing/>
    </w:pPr>
  </w:style>
  <w:style w:type="paragraph" w:styleId="Textodebalo">
    <w:name w:val="Balloon Text"/>
    <w:basedOn w:val="Normal"/>
    <w:link w:val="TextodebaloChar"/>
    <w:uiPriority w:val="99"/>
    <w:semiHidden/>
    <w:unhideWhenUsed/>
    <w:rsid w:val="00E5637E"/>
    <w:rPr>
      <w:rFonts w:ascii="Segoe UI" w:hAnsi="Segoe UI" w:cs="Segoe UI"/>
      <w:sz w:val="18"/>
      <w:szCs w:val="18"/>
    </w:rPr>
  </w:style>
  <w:style w:type="character" w:customStyle="1" w:styleId="TextodebaloChar">
    <w:name w:val="Texto de balão Char"/>
    <w:basedOn w:val="Fontepargpadro"/>
    <w:link w:val="Textodebalo"/>
    <w:uiPriority w:val="99"/>
    <w:semiHidden/>
    <w:rsid w:val="00E5637E"/>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E5637E"/>
    <w:pPr>
      <w:spacing w:after="120"/>
      <w:ind w:left="283"/>
    </w:pPr>
    <w:rPr>
      <w:sz w:val="24"/>
      <w:szCs w:val="24"/>
    </w:rPr>
  </w:style>
  <w:style w:type="character" w:customStyle="1" w:styleId="RecuodecorpodetextoChar">
    <w:name w:val="Recuo de corpo de texto Char"/>
    <w:basedOn w:val="Fontepargpadro"/>
    <w:link w:val="Recuodecorpodetexto"/>
    <w:uiPriority w:val="99"/>
    <w:rsid w:val="00E5637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261</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11</cp:revision>
  <cp:lastPrinted>2022-05-27T16:07:00Z</cp:lastPrinted>
  <dcterms:created xsi:type="dcterms:W3CDTF">2022-05-25T13:47:00Z</dcterms:created>
  <dcterms:modified xsi:type="dcterms:W3CDTF">2022-06-23T12:16:00Z</dcterms:modified>
</cp:coreProperties>
</file>